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XSpec="center" w:tblpY="403"/>
        <w:tblW w:w="10269" w:type="dxa"/>
        <w:tblLook w:val="04A0" w:firstRow="1" w:lastRow="0" w:firstColumn="1" w:lastColumn="0" w:noHBand="0" w:noVBand="1"/>
      </w:tblPr>
      <w:tblGrid>
        <w:gridCol w:w="3553"/>
        <w:gridCol w:w="1581"/>
        <w:gridCol w:w="5135"/>
      </w:tblGrid>
      <w:tr w:rsidR="0046408E" w14:paraId="3DF82696" w14:textId="77777777" w:rsidTr="0046408E">
        <w:trPr>
          <w:trHeight w:val="540"/>
        </w:trPr>
        <w:tc>
          <w:tcPr>
            <w:tcW w:w="10269" w:type="dxa"/>
            <w:gridSpan w:val="3"/>
          </w:tcPr>
          <w:p w14:paraId="3D7EA120" w14:textId="175D21E0" w:rsidR="0046408E" w:rsidRPr="00F00450" w:rsidRDefault="00C9736F" w:rsidP="00F00450">
            <w:pPr>
              <w:jc w:val="center"/>
              <w:rPr>
                <w:b/>
                <w:bCs/>
                <w:sz w:val="32"/>
                <w:szCs w:val="32"/>
              </w:rPr>
            </w:pPr>
            <w:proofErr w:type="spellStart"/>
            <w:r>
              <w:rPr>
                <w:b/>
                <w:bCs/>
                <w:sz w:val="32"/>
                <w:szCs w:val="32"/>
              </w:rPr>
              <w:t>l</w:t>
            </w:r>
            <w:r w:rsidR="0046408E">
              <w:rPr>
                <w:b/>
                <w:bCs/>
                <w:sz w:val="32"/>
                <w:szCs w:val="32"/>
              </w:rPr>
              <w:t>aptopril</w:t>
            </w:r>
            <w:proofErr w:type="spellEnd"/>
            <w:r w:rsidR="0046408E">
              <w:rPr>
                <w:b/>
                <w:bCs/>
                <w:sz w:val="32"/>
                <w:szCs w:val="32"/>
              </w:rPr>
              <w:t xml:space="preserve"> (</w:t>
            </w:r>
            <w:proofErr w:type="spellStart"/>
            <w:r>
              <w:rPr>
                <w:b/>
                <w:bCs/>
                <w:sz w:val="32"/>
                <w:szCs w:val="32"/>
              </w:rPr>
              <w:t>Capoten</w:t>
            </w:r>
            <w:proofErr w:type="spellEnd"/>
            <w:r>
              <w:rPr>
                <w:b/>
                <w:bCs/>
                <w:sz w:val="32"/>
                <w:szCs w:val="32"/>
              </w:rPr>
              <w:t>)</w:t>
            </w:r>
          </w:p>
        </w:tc>
      </w:tr>
      <w:tr w:rsidR="0046408E" w14:paraId="186D1B14" w14:textId="77777777" w:rsidTr="0046408E">
        <w:trPr>
          <w:trHeight w:val="242"/>
        </w:trPr>
        <w:tc>
          <w:tcPr>
            <w:tcW w:w="3553" w:type="dxa"/>
          </w:tcPr>
          <w:p w14:paraId="73ED19C9" w14:textId="77777777" w:rsidR="0046408E" w:rsidRDefault="0046408E" w:rsidP="0046408E">
            <w:r>
              <w:t>Classification:</w:t>
            </w:r>
          </w:p>
        </w:tc>
        <w:tc>
          <w:tcPr>
            <w:tcW w:w="6716" w:type="dxa"/>
            <w:gridSpan w:val="2"/>
          </w:tcPr>
          <w:p w14:paraId="6A03374B" w14:textId="77777777" w:rsidR="0046408E" w:rsidRDefault="0046408E" w:rsidP="0046408E">
            <w:r>
              <w:t>Indication:</w:t>
            </w:r>
          </w:p>
        </w:tc>
      </w:tr>
      <w:tr w:rsidR="0046408E" w14:paraId="5DCED253" w14:textId="77777777" w:rsidTr="00F00450">
        <w:trPr>
          <w:trHeight w:val="965"/>
        </w:trPr>
        <w:tc>
          <w:tcPr>
            <w:tcW w:w="3553" w:type="dxa"/>
          </w:tcPr>
          <w:p w14:paraId="2CB49825" w14:textId="77777777" w:rsidR="0046408E" w:rsidRDefault="0046408E" w:rsidP="0046408E">
            <w:r>
              <w:t>ACE Inhibitor, Antihypertensive</w:t>
            </w:r>
          </w:p>
          <w:p w14:paraId="273DA107" w14:textId="77777777" w:rsidR="0046408E" w:rsidRDefault="0046408E" w:rsidP="0046408E"/>
        </w:tc>
        <w:tc>
          <w:tcPr>
            <w:tcW w:w="6716" w:type="dxa"/>
            <w:gridSpan w:val="2"/>
          </w:tcPr>
          <w:p w14:paraId="7BC2593C" w14:textId="120BB73E" w:rsidR="005C3084" w:rsidRDefault="005C3084" w:rsidP="0046408E">
            <w:r>
              <w:t>HTN</w:t>
            </w:r>
            <w:r w:rsidR="00F00450">
              <w:t xml:space="preserve">, HF, </w:t>
            </w:r>
            <w:r>
              <w:t>Diabetic nephropathy</w:t>
            </w:r>
          </w:p>
          <w:p w14:paraId="4745DA27" w14:textId="3AC6AD29" w:rsidR="0046408E" w:rsidRDefault="005C3084" w:rsidP="0046408E">
            <w:r>
              <w:t>Left Ventricular dysfunction after acute MI</w:t>
            </w:r>
          </w:p>
        </w:tc>
      </w:tr>
      <w:tr w:rsidR="0046408E" w14:paraId="48A54FC9" w14:textId="77777777" w:rsidTr="0046408E">
        <w:trPr>
          <w:trHeight w:val="229"/>
        </w:trPr>
        <w:tc>
          <w:tcPr>
            <w:tcW w:w="5134" w:type="dxa"/>
            <w:gridSpan w:val="2"/>
          </w:tcPr>
          <w:p w14:paraId="626790EB" w14:textId="77777777" w:rsidR="0046408E" w:rsidRDefault="0046408E" w:rsidP="0046408E">
            <w:r>
              <w:t>Side effects/ adverse reactions:</w:t>
            </w:r>
          </w:p>
        </w:tc>
        <w:tc>
          <w:tcPr>
            <w:tcW w:w="5135" w:type="dxa"/>
          </w:tcPr>
          <w:p w14:paraId="3A2F6E40" w14:textId="77777777" w:rsidR="0046408E" w:rsidRDefault="0046408E" w:rsidP="0046408E">
            <w:r>
              <w:t>Nursing Considerations:</w:t>
            </w:r>
          </w:p>
        </w:tc>
      </w:tr>
      <w:tr w:rsidR="0046408E" w14:paraId="6D17865F" w14:textId="77777777" w:rsidTr="00F00450">
        <w:trPr>
          <w:trHeight w:val="4286"/>
        </w:trPr>
        <w:tc>
          <w:tcPr>
            <w:tcW w:w="5134" w:type="dxa"/>
            <w:gridSpan w:val="2"/>
          </w:tcPr>
          <w:p w14:paraId="5521B987" w14:textId="5727B8B4" w:rsidR="005C3084" w:rsidRDefault="005C3084" w:rsidP="005C3084">
            <w:r>
              <w:t>CNS: dizziness, fainting, headache, malaise, fatigue, fever, insomnia, paresthesia. CV: tachycardia, hypotension, chest pain, angina pectoris, palpitations. GI: abdominal pain, anorexia, constipation, diarrhea, dry mouth, dysgeusia, nausea, vomiting. Hematologic: leukopenia, agranulocytosis, thrombocytopenia, pancytopenia, anemia. Metabolic: hyperkalemia. Respiratory: dry, persistent, nonproductive cough; dyspnea. Skin: urticarial rash, maculopapular rash, pruritus, alopecia. Other: angioedema.</w:t>
            </w:r>
          </w:p>
          <w:p w14:paraId="04D215B9" w14:textId="6F4EEA76" w:rsidR="0046408E" w:rsidRDefault="0046408E" w:rsidP="005C3084"/>
        </w:tc>
        <w:tc>
          <w:tcPr>
            <w:tcW w:w="5135" w:type="dxa"/>
          </w:tcPr>
          <w:p w14:paraId="766A7500" w14:textId="66817660" w:rsidR="0046408E" w:rsidRDefault="005C3084" w:rsidP="005C3084">
            <w:r>
              <w:t xml:space="preserve">Black patients who take ACE inhibitors as monotherapy for HTN have a smaller reduction in BP than </w:t>
            </w:r>
            <w:proofErr w:type="spellStart"/>
            <w:r>
              <w:t>nonblacks</w:t>
            </w:r>
            <w:proofErr w:type="spellEnd"/>
            <w:r>
              <w:t xml:space="preserve">.  Black patients taking ACE inhibitors have a higher incidence of angioedema than </w:t>
            </w:r>
            <w:proofErr w:type="spellStart"/>
            <w:r>
              <w:t>nonblacks</w:t>
            </w:r>
            <w:proofErr w:type="spellEnd"/>
            <w:r>
              <w:t xml:space="preserve">. • Monitor patient's BP and pulse rate frequently.  Alert: Elderly patients may be more sensitive to drug's hypotensive effects. • Assess patient for signs of angioedema. • Drug causes cough, most frequently of all ACE inhibitors. • In patients with impaired renal function or collagen vascular disease, monitor WBC and differential counts before starting treatment, every 2 weeks for the first 3 months of therapy, and periodically thereafter. </w:t>
            </w:r>
          </w:p>
        </w:tc>
      </w:tr>
    </w:tbl>
    <w:p w14:paraId="5ED45CD4" w14:textId="6E8232A4" w:rsidR="00BD7477" w:rsidRDefault="00BD7477" w:rsidP="00BD7477"/>
    <w:p w14:paraId="13DDBC49" w14:textId="3C8CF5FD" w:rsidR="00F00450" w:rsidRDefault="00F00450" w:rsidP="00BD7477"/>
    <w:p w14:paraId="06C5D0F7" w14:textId="6DEE5657" w:rsidR="00F00450" w:rsidRDefault="00F00450" w:rsidP="00BD7477"/>
    <w:tbl>
      <w:tblPr>
        <w:tblStyle w:val="TableGrid"/>
        <w:tblpPr w:leftFromText="180" w:rightFromText="180" w:vertAnchor="page" w:horzAnchor="margin" w:tblpXSpec="center" w:tblpY="621"/>
        <w:tblW w:w="10502" w:type="dxa"/>
        <w:tblLook w:val="04A0" w:firstRow="1" w:lastRow="0" w:firstColumn="1" w:lastColumn="0" w:noHBand="0" w:noVBand="1"/>
      </w:tblPr>
      <w:tblGrid>
        <w:gridCol w:w="3633"/>
        <w:gridCol w:w="1617"/>
        <w:gridCol w:w="5252"/>
      </w:tblGrid>
      <w:tr w:rsidR="00F00450" w14:paraId="3272704C" w14:textId="77777777" w:rsidTr="00F00450">
        <w:trPr>
          <w:trHeight w:val="441"/>
        </w:trPr>
        <w:tc>
          <w:tcPr>
            <w:tcW w:w="10502" w:type="dxa"/>
            <w:gridSpan w:val="3"/>
          </w:tcPr>
          <w:p w14:paraId="4B87C3E1" w14:textId="72168C72" w:rsidR="00F00450" w:rsidRPr="00F00450" w:rsidRDefault="00C9736F" w:rsidP="00F00450">
            <w:pPr>
              <w:tabs>
                <w:tab w:val="left" w:pos="3483"/>
              </w:tabs>
              <w:jc w:val="center"/>
              <w:rPr>
                <w:b/>
                <w:bCs/>
                <w:sz w:val="32"/>
                <w:szCs w:val="32"/>
              </w:rPr>
            </w:pPr>
            <w:r>
              <w:rPr>
                <w:b/>
                <w:bCs/>
                <w:sz w:val="32"/>
                <w:szCs w:val="32"/>
              </w:rPr>
              <w:lastRenderedPageBreak/>
              <w:t>l</w:t>
            </w:r>
            <w:r w:rsidR="00F00450">
              <w:rPr>
                <w:b/>
                <w:bCs/>
                <w:sz w:val="32"/>
                <w:szCs w:val="32"/>
              </w:rPr>
              <w:t>osartan (Cozaar)</w:t>
            </w:r>
          </w:p>
        </w:tc>
      </w:tr>
      <w:tr w:rsidR="00F00450" w14:paraId="29CD2B61" w14:textId="77777777" w:rsidTr="00F00450">
        <w:trPr>
          <w:trHeight w:val="297"/>
        </w:trPr>
        <w:tc>
          <w:tcPr>
            <w:tcW w:w="3633" w:type="dxa"/>
          </w:tcPr>
          <w:p w14:paraId="6B4ADA1D" w14:textId="77777777" w:rsidR="00F00450" w:rsidRDefault="00F00450" w:rsidP="00F00450">
            <w:r>
              <w:t>Classification:</w:t>
            </w:r>
          </w:p>
        </w:tc>
        <w:tc>
          <w:tcPr>
            <w:tcW w:w="6869" w:type="dxa"/>
            <w:gridSpan w:val="2"/>
          </w:tcPr>
          <w:p w14:paraId="319E87D1" w14:textId="77777777" w:rsidR="00F00450" w:rsidRDefault="00F00450" w:rsidP="00F00450">
            <w:r>
              <w:t>Indication:</w:t>
            </w:r>
          </w:p>
        </w:tc>
      </w:tr>
      <w:tr w:rsidR="00F00450" w14:paraId="3D59AA86" w14:textId="77777777" w:rsidTr="00F00450">
        <w:trPr>
          <w:trHeight w:val="1035"/>
        </w:trPr>
        <w:tc>
          <w:tcPr>
            <w:tcW w:w="3633" w:type="dxa"/>
          </w:tcPr>
          <w:p w14:paraId="3F05E288" w14:textId="77777777" w:rsidR="00F00450" w:rsidRDefault="00F00450" w:rsidP="00F00450">
            <w:r>
              <w:t xml:space="preserve">Antihypertensives </w:t>
            </w:r>
          </w:p>
          <w:p w14:paraId="5834CE9B" w14:textId="1B4F0AD5" w:rsidR="00F00450" w:rsidRDefault="00F00450" w:rsidP="00F00450">
            <w:r>
              <w:t>ARBs</w:t>
            </w:r>
          </w:p>
        </w:tc>
        <w:tc>
          <w:tcPr>
            <w:tcW w:w="6869" w:type="dxa"/>
            <w:gridSpan w:val="2"/>
          </w:tcPr>
          <w:p w14:paraId="7CE7009F" w14:textId="351BE84E" w:rsidR="00F00450" w:rsidRDefault="00F00450" w:rsidP="00F00450">
            <w:proofErr w:type="gramStart"/>
            <w:r>
              <w:t>HTN</w:t>
            </w:r>
            <w:r>
              <w:t xml:space="preserve">,  </w:t>
            </w:r>
            <w:r>
              <w:t>hypertrophy</w:t>
            </w:r>
            <w:proofErr w:type="gramEnd"/>
          </w:p>
          <w:p w14:paraId="450FDEAE" w14:textId="77777777" w:rsidR="00F00450" w:rsidRDefault="00F00450" w:rsidP="00F00450">
            <w:r>
              <w:t>Nephropathy in patients with type 2 diabetes</w:t>
            </w:r>
          </w:p>
          <w:p w14:paraId="09D7F834" w14:textId="4451723F" w:rsidR="00F00450" w:rsidRDefault="00F00450" w:rsidP="00F00450">
            <w:r>
              <w:t xml:space="preserve">To reduce risk of stroke in patients with HTN and left ventricular </w:t>
            </w:r>
          </w:p>
        </w:tc>
      </w:tr>
      <w:tr w:rsidR="00F00450" w14:paraId="5510E1FB" w14:textId="77777777" w:rsidTr="00F00450">
        <w:trPr>
          <w:trHeight w:val="360"/>
        </w:trPr>
        <w:tc>
          <w:tcPr>
            <w:tcW w:w="5250" w:type="dxa"/>
            <w:gridSpan w:val="2"/>
          </w:tcPr>
          <w:p w14:paraId="33EFA308" w14:textId="77777777" w:rsidR="00F00450" w:rsidRDefault="00F00450" w:rsidP="00F00450">
            <w:r>
              <w:t>Side effects/ adverse reactions:</w:t>
            </w:r>
          </w:p>
        </w:tc>
        <w:tc>
          <w:tcPr>
            <w:tcW w:w="5251" w:type="dxa"/>
          </w:tcPr>
          <w:p w14:paraId="0B4E4745" w14:textId="77777777" w:rsidR="00F00450" w:rsidRDefault="00F00450" w:rsidP="00F00450">
            <w:r>
              <w:t>Nursing Considerations:</w:t>
            </w:r>
          </w:p>
        </w:tc>
      </w:tr>
      <w:tr w:rsidR="00F00450" w14:paraId="0B7FB88E" w14:textId="77777777" w:rsidTr="00F00450">
        <w:trPr>
          <w:trHeight w:val="5373"/>
        </w:trPr>
        <w:tc>
          <w:tcPr>
            <w:tcW w:w="5250" w:type="dxa"/>
            <w:gridSpan w:val="2"/>
          </w:tcPr>
          <w:p w14:paraId="03BA31B4" w14:textId="77777777" w:rsidR="00F00450" w:rsidRDefault="00F00450" w:rsidP="00F00450">
            <w:r>
              <w:t>﻿Patients with HTN or left ventricular hypertrophy</w:t>
            </w:r>
          </w:p>
          <w:p w14:paraId="4E1188DE" w14:textId="72E00337" w:rsidR="00F00450" w:rsidRDefault="00F00450" w:rsidP="00F00450">
            <w:r>
              <w:t>﻿CNS: dizziness, asthenia, fatigue, headache, insomnia. CV: edema, chest pain. EENT: nasal congestion, sinusitis, pharyngitis, sinus disorder. GI: abdominal pain, nausea, diarrhea, dyspepsia. Musculoskeletal: muscle cramps, myalgia, back or leg pain. Respiratory: cough, URI. Other: angioedema. Patients with nephropathy CNS: asthenia, fatigue, fever, hypoesthesia. CV: chest pain, hypotension, orthostatic hypotension. EENT: cataract, sinusitis. GI: diarrhea, dyspepsia, gastritis, nausea. GU: UTI. Hematologic: anemia. Metabolic: hyperkalemia, hypoglycemia, hyponatremia, weight gain. Musculoskeletal: back pain, leg or knee pain, muscle weakness. Respiratory: cough, bronchitis. Skin: cellulitis. Other: flulike syndrome, diabetic vascular disease, angioedema, infection, trauma, diabetic neuropathy.</w:t>
            </w:r>
          </w:p>
        </w:tc>
        <w:tc>
          <w:tcPr>
            <w:tcW w:w="5251" w:type="dxa"/>
          </w:tcPr>
          <w:p w14:paraId="11BC9A7F" w14:textId="23CBE64B" w:rsidR="00F00450" w:rsidRDefault="00F00450" w:rsidP="00F00450"/>
          <w:p w14:paraId="604E8BAF" w14:textId="7C23577B" w:rsidR="00F00450" w:rsidRPr="00F00450" w:rsidRDefault="00F00450" w:rsidP="00F00450">
            <w:pPr>
              <w:tabs>
                <w:tab w:val="left" w:pos="1490"/>
              </w:tabs>
            </w:pPr>
            <w:r>
              <w:t>﻿• Drug can be used alone or with other antihypertensives.  Monitor patient's BP closely to evaluate effectiveness of therapy. When used alone, drug has less of an effect on BP in black patients than in patients of other races. • Monitor patients who are also taking diuretics for symptomatic hypotension. • Regularly assess patient's renal function (via creatinine and BUN levels). • Patients with severe HF whose renal function depends on the angiotensin-aldosterone system may develop acute renal failure during therapy. Closely monitor patient's BP, renal function, and potassium levels, especially during first few weeks of therapy and after dosage adjustments.</w:t>
            </w:r>
          </w:p>
        </w:tc>
      </w:tr>
    </w:tbl>
    <w:p w14:paraId="6B7333CD" w14:textId="3D972467" w:rsidR="00F00450" w:rsidRDefault="00F00450" w:rsidP="00BD7477"/>
    <w:p w14:paraId="6A5C50AB" w14:textId="728F945F" w:rsidR="00F00450" w:rsidRDefault="00F00450" w:rsidP="00BD7477"/>
    <w:p w14:paraId="093C0211" w14:textId="5E27FBE6" w:rsidR="00F00450" w:rsidRDefault="00F00450" w:rsidP="00BD7477"/>
    <w:p w14:paraId="3EF78976" w14:textId="77777777" w:rsidR="00F00450" w:rsidRDefault="00F00450" w:rsidP="00BD7477"/>
    <w:tbl>
      <w:tblPr>
        <w:tblStyle w:val="TableGrid"/>
        <w:tblpPr w:leftFromText="180" w:rightFromText="180" w:vertAnchor="page" w:horzAnchor="margin" w:tblpXSpec="center" w:tblpY="621"/>
        <w:tblW w:w="10502" w:type="dxa"/>
        <w:tblLook w:val="04A0" w:firstRow="1" w:lastRow="0" w:firstColumn="1" w:lastColumn="0" w:noHBand="0" w:noVBand="1"/>
      </w:tblPr>
      <w:tblGrid>
        <w:gridCol w:w="3633"/>
        <w:gridCol w:w="1617"/>
        <w:gridCol w:w="5252"/>
      </w:tblGrid>
      <w:tr w:rsidR="005E314D" w14:paraId="79E807EE" w14:textId="77777777" w:rsidTr="00B510EF">
        <w:trPr>
          <w:trHeight w:val="441"/>
        </w:trPr>
        <w:tc>
          <w:tcPr>
            <w:tcW w:w="10502" w:type="dxa"/>
            <w:gridSpan w:val="3"/>
          </w:tcPr>
          <w:p w14:paraId="388FA635" w14:textId="14F57B3D" w:rsidR="005E314D" w:rsidRPr="00F00450" w:rsidRDefault="005E314D" w:rsidP="00B510EF">
            <w:pPr>
              <w:tabs>
                <w:tab w:val="left" w:pos="3483"/>
              </w:tabs>
              <w:jc w:val="center"/>
              <w:rPr>
                <w:b/>
                <w:bCs/>
                <w:sz w:val="32"/>
                <w:szCs w:val="32"/>
              </w:rPr>
            </w:pPr>
            <w:r>
              <w:rPr>
                <w:b/>
                <w:bCs/>
                <w:sz w:val="32"/>
                <w:szCs w:val="32"/>
              </w:rPr>
              <w:lastRenderedPageBreak/>
              <w:t>diltiazem</w:t>
            </w:r>
            <w:r>
              <w:rPr>
                <w:b/>
                <w:bCs/>
                <w:sz w:val="32"/>
                <w:szCs w:val="32"/>
              </w:rPr>
              <w:t xml:space="preserve"> (</w:t>
            </w:r>
            <w:r>
              <w:rPr>
                <w:b/>
                <w:bCs/>
                <w:sz w:val="32"/>
                <w:szCs w:val="32"/>
              </w:rPr>
              <w:t>Cardizem</w:t>
            </w:r>
            <w:r>
              <w:rPr>
                <w:b/>
                <w:bCs/>
                <w:sz w:val="32"/>
                <w:szCs w:val="32"/>
              </w:rPr>
              <w:t>)</w:t>
            </w:r>
          </w:p>
        </w:tc>
      </w:tr>
      <w:tr w:rsidR="005E314D" w14:paraId="66D79A81" w14:textId="77777777" w:rsidTr="00B510EF">
        <w:trPr>
          <w:trHeight w:val="297"/>
        </w:trPr>
        <w:tc>
          <w:tcPr>
            <w:tcW w:w="3633" w:type="dxa"/>
          </w:tcPr>
          <w:p w14:paraId="55853D01" w14:textId="77777777" w:rsidR="005E314D" w:rsidRDefault="005E314D" w:rsidP="00B510EF">
            <w:r>
              <w:t>Classification:</w:t>
            </w:r>
          </w:p>
        </w:tc>
        <w:tc>
          <w:tcPr>
            <w:tcW w:w="6869" w:type="dxa"/>
            <w:gridSpan w:val="2"/>
          </w:tcPr>
          <w:p w14:paraId="73823FD4" w14:textId="77777777" w:rsidR="005E314D" w:rsidRDefault="005E314D" w:rsidP="00B510EF">
            <w:r>
              <w:t>Indication:</w:t>
            </w:r>
          </w:p>
        </w:tc>
      </w:tr>
      <w:tr w:rsidR="005E314D" w14:paraId="7F6B39DA" w14:textId="77777777" w:rsidTr="00B510EF">
        <w:trPr>
          <w:trHeight w:val="1035"/>
        </w:trPr>
        <w:tc>
          <w:tcPr>
            <w:tcW w:w="3633" w:type="dxa"/>
          </w:tcPr>
          <w:p w14:paraId="3AC1E46B" w14:textId="77777777" w:rsidR="005E314D" w:rsidRDefault="005E314D" w:rsidP="005E314D">
            <w:r>
              <w:t xml:space="preserve">﻿Antihypertensives </w:t>
            </w:r>
          </w:p>
          <w:p w14:paraId="4057ED8E" w14:textId="6BD3E33F" w:rsidR="005E314D" w:rsidRDefault="005E314D" w:rsidP="005E314D">
            <w:r>
              <w:t>Calcium channel blockers</w:t>
            </w:r>
          </w:p>
          <w:p w14:paraId="084132DC" w14:textId="77777777" w:rsidR="005E314D" w:rsidRDefault="005E314D" w:rsidP="005E314D"/>
          <w:p w14:paraId="11CB46DB" w14:textId="3B64B284" w:rsidR="005E314D" w:rsidRDefault="005E314D" w:rsidP="005E314D"/>
        </w:tc>
        <w:tc>
          <w:tcPr>
            <w:tcW w:w="6869" w:type="dxa"/>
            <w:gridSpan w:val="2"/>
          </w:tcPr>
          <w:p w14:paraId="627733E1" w14:textId="4A672B90" w:rsidR="005E314D" w:rsidRDefault="005E314D" w:rsidP="005E314D">
            <w:r>
              <w:t xml:space="preserve">﻿To manage </w:t>
            </w:r>
            <w:proofErr w:type="spellStart"/>
            <w:r>
              <w:t>Prinzmetal</w:t>
            </w:r>
            <w:proofErr w:type="spellEnd"/>
            <w:r>
              <w:t xml:space="preserve"> or variant angina or chronic stable angina pectoris</w:t>
            </w:r>
          </w:p>
          <w:p w14:paraId="1C0ED0C1" w14:textId="72FEFDB7" w:rsidR="005E314D" w:rsidRDefault="005E314D" w:rsidP="005E314D">
            <w:r>
              <w:t>﻿HTN, alone or as combination therapy</w:t>
            </w:r>
          </w:p>
        </w:tc>
      </w:tr>
      <w:tr w:rsidR="005E314D" w14:paraId="40FBDB5A" w14:textId="77777777" w:rsidTr="00B510EF">
        <w:trPr>
          <w:trHeight w:val="360"/>
        </w:trPr>
        <w:tc>
          <w:tcPr>
            <w:tcW w:w="5250" w:type="dxa"/>
            <w:gridSpan w:val="2"/>
          </w:tcPr>
          <w:p w14:paraId="4F975F4F" w14:textId="77777777" w:rsidR="005E314D" w:rsidRDefault="005E314D" w:rsidP="00B510EF">
            <w:r>
              <w:t>Side effects/ adverse reactions:</w:t>
            </w:r>
          </w:p>
        </w:tc>
        <w:tc>
          <w:tcPr>
            <w:tcW w:w="5251" w:type="dxa"/>
          </w:tcPr>
          <w:p w14:paraId="7D304CB6" w14:textId="77777777" w:rsidR="005E314D" w:rsidRDefault="005E314D" w:rsidP="00B510EF">
            <w:r>
              <w:t>Nursing Considerations:</w:t>
            </w:r>
          </w:p>
        </w:tc>
      </w:tr>
      <w:tr w:rsidR="005E314D" w14:paraId="6698135B" w14:textId="77777777" w:rsidTr="005E314D">
        <w:trPr>
          <w:trHeight w:val="4248"/>
        </w:trPr>
        <w:tc>
          <w:tcPr>
            <w:tcW w:w="5250" w:type="dxa"/>
            <w:gridSpan w:val="2"/>
          </w:tcPr>
          <w:p w14:paraId="374F112B" w14:textId="2F31C5EC" w:rsidR="005E314D" w:rsidRDefault="005E314D" w:rsidP="005E314D">
            <w:r>
              <w:t>﻿﻿CNS: headache, dizziness, asthenia, somnolence. CV: edema, arrhythmias, AV block, bradycardia, HF, flushing, hypotension, conduction abnormalities, abnormal ECG. GI: nausea, constipation,</w:t>
            </w:r>
            <w:r>
              <w:t xml:space="preserve"> </w:t>
            </w:r>
            <w:r>
              <w:t>﻿abdominal discomfort. Hepatic: acute hepatic injury. Skin: rash.</w:t>
            </w:r>
          </w:p>
        </w:tc>
        <w:tc>
          <w:tcPr>
            <w:tcW w:w="5251" w:type="dxa"/>
          </w:tcPr>
          <w:p w14:paraId="477174BB" w14:textId="35984F95" w:rsidR="005E314D" w:rsidRPr="00F00450" w:rsidRDefault="005E314D" w:rsidP="005E314D">
            <w:pPr>
              <w:tabs>
                <w:tab w:val="left" w:pos="1490"/>
              </w:tabs>
            </w:pPr>
            <w:r>
              <w:t>Contraindicated in patients hypersensitive to drug and in those with sick sinus syndrome or second- or third-degree AV block in the absence of an artificial pacemaker, hypotension (systolic less than 90 mm Hg), acute MI, and pulmonary congestion. • Additional contraindications for IV form include patients who have atrial fibrillation or flutter with an accessory bypass tract, as in Wolff-Parkinson-White syndrome or short PR interval</w:t>
            </w:r>
            <w:r>
              <w:t xml:space="preserve"> </w:t>
            </w:r>
            <w:r>
              <w:t>﻿syndrome, cardiogenic shock, and ventricular tachycardia, and within a few hours of IV beta-blocker therapy. • Use cautiously in elderly patients and in those with HF, hypertrophic obstructive cardiomyopathy, or impaired hepatic or renal function.</w:t>
            </w:r>
          </w:p>
        </w:tc>
      </w:tr>
    </w:tbl>
    <w:p w14:paraId="561D0C07" w14:textId="3363418F" w:rsidR="005E314D" w:rsidRDefault="005E314D" w:rsidP="00BD7477"/>
    <w:p w14:paraId="01D6DCB3" w14:textId="2ADD7906" w:rsidR="005E314D" w:rsidRDefault="005E314D" w:rsidP="00BD7477"/>
    <w:p w14:paraId="0D78A54A" w14:textId="2D3AC167" w:rsidR="005E314D" w:rsidRDefault="005E314D" w:rsidP="00BD7477"/>
    <w:p w14:paraId="1A9B42CC" w14:textId="77777777" w:rsidR="005E314D" w:rsidRPr="005E314D" w:rsidRDefault="005E314D" w:rsidP="005E314D"/>
    <w:p w14:paraId="28CE22C0" w14:textId="77777777" w:rsidR="005E314D" w:rsidRPr="005E314D" w:rsidRDefault="005E314D" w:rsidP="005E314D"/>
    <w:p w14:paraId="3BF1BCFF" w14:textId="77777777" w:rsidR="005E314D" w:rsidRPr="005E314D" w:rsidRDefault="005E314D" w:rsidP="005E314D"/>
    <w:p w14:paraId="5C9C11E4" w14:textId="77777777" w:rsidR="005E314D" w:rsidRPr="005E314D" w:rsidRDefault="005E314D" w:rsidP="005E314D"/>
    <w:p w14:paraId="132B8755" w14:textId="77777777" w:rsidR="005E314D" w:rsidRPr="005E314D" w:rsidRDefault="005E314D" w:rsidP="005E314D"/>
    <w:p w14:paraId="421A5300" w14:textId="07F37E5B" w:rsidR="005E314D" w:rsidRDefault="005E314D" w:rsidP="005E314D"/>
    <w:p w14:paraId="23431E8F" w14:textId="2A3B447D" w:rsidR="005E314D" w:rsidRDefault="005E314D" w:rsidP="005E314D">
      <w:pPr>
        <w:tabs>
          <w:tab w:val="left" w:pos="1005"/>
        </w:tabs>
      </w:pPr>
      <w:r>
        <w:tab/>
      </w:r>
    </w:p>
    <w:p w14:paraId="3EBF47C0" w14:textId="4B307082" w:rsidR="005E314D" w:rsidRDefault="005E314D" w:rsidP="005E314D">
      <w:pPr>
        <w:tabs>
          <w:tab w:val="left" w:pos="1005"/>
        </w:tabs>
      </w:pPr>
    </w:p>
    <w:p w14:paraId="1C590A50" w14:textId="1EED65CC" w:rsidR="005E314D" w:rsidRDefault="005E314D" w:rsidP="005E314D">
      <w:pPr>
        <w:tabs>
          <w:tab w:val="left" w:pos="1005"/>
        </w:tabs>
      </w:pPr>
    </w:p>
    <w:tbl>
      <w:tblPr>
        <w:tblStyle w:val="TableGrid"/>
        <w:tblpPr w:leftFromText="180" w:rightFromText="180" w:vertAnchor="page" w:horzAnchor="margin" w:tblpXSpec="center" w:tblpY="621"/>
        <w:tblW w:w="10502" w:type="dxa"/>
        <w:tblLook w:val="04A0" w:firstRow="1" w:lastRow="0" w:firstColumn="1" w:lastColumn="0" w:noHBand="0" w:noVBand="1"/>
      </w:tblPr>
      <w:tblGrid>
        <w:gridCol w:w="3633"/>
        <w:gridCol w:w="1617"/>
        <w:gridCol w:w="5252"/>
      </w:tblGrid>
      <w:tr w:rsidR="005E314D" w:rsidRPr="00F00450" w14:paraId="28A62C68" w14:textId="77777777" w:rsidTr="00B510EF">
        <w:trPr>
          <w:trHeight w:val="441"/>
        </w:trPr>
        <w:tc>
          <w:tcPr>
            <w:tcW w:w="10502" w:type="dxa"/>
            <w:gridSpan w:val="3"/>
          </w:tcPr>
          <w:p w14:paraId="4FC08B20" w14:textId="459717A9" w:rsidR="005E314D" w:rsidRPr="00F00450" w:rsidRDefault="005E314D" w:rsidP="00B510EF">
            <w:pPr>
              <w:tabs>
                <w:tab w:val="left" w:pos="3483"/>
              </w:tabs>
              <w:jc w:val="center"/>
              <w:rPr>
                <w:b/>
                <w:bCs/>
                <w:sz w:val="32"/>
                <w:szCs w:val="32"/>
              </w:rPr>
            </w:pPr>
            <w:r>
              <w:rPr>
                <w:b/>
                <w:bCs/>
                <w:sz w:val="32"/>
                <w:szCs w:val="32"/>
              </w:rPr>
              <w:lastRenderedPageBreak/>
              <w:t>nitroprusside</w:t>
            </w:r>
            <w:r>
              <w:rPr>
                <w:b/>
                <w:bCs/>
                <w:sz w:val="32"/>
                <w:szCs w:val="32"/>
              </w:rPr>
              <w:t xml:space="preserve"> (</w:t>
            </w:r>
            <w:proofErr w:type="spellStart"/>
            <w:r w:rsidR="00185ECE">
              <w:rPr>
                <w:b/>
                <w:bCs/>
                <w:sz w:val="32"/>
                <w:szCs w:val="32"/>
              </w:rPr>
              <w:t>Nitropress</w:t>
            </w:r>
            <w:proofErr w:type="spellEnd"/>
            <w:r>
              <w:rPr>
                <w:b/>
                <w:bCs/>
                <w:sz w:val="32"/>
                <w:szCs w:val="32"/>
              </w:rPr>
              <w:t>)</w:t>
            </w:r>
          </w:p>
        </w:tc>
      </w:tr>
      <w:tr w:rsidR="005E314D" w14:paraId="6D971F6A" w14:textId="77777777" w:rsidTr="00B510EF">
        <w:trPr>
          <w:trHeight w:val="297"/>
        </w:trPr>
        <w:tc>
          <w:tcPr>
            <w:tcW w:w="3633" w:type="dxa"/>
          </w:tcPr>
          <w:p w14:paraId="0A026D33" w14:textId="77777777" w:rsidR="005E314D" w:rsidRDefault="005E314D" w:rsidP="00B510EF">
            <w:r>
              <w:t>Classification:</w:t>
            </w:r>
          </w:p>
        </w:tc>
        <w:tc>
          <w:tcPr>
            <w:tcW w:w="6869" w:type="dxa"/>
            <w:gridSpan w:val="2"/>
          </w:tcPr>
          <w:p w14:paraId="1A23E1B8" w14:textId="77777777" w:rsidR="005E314D" w:rsidRDefault="005E314D" w:rsidP="00B510EF">
            <w:r>
              <w:t>Indication:</w:t>
            </w:r>
          </w:p>
        </w:tc>
      </w:tr>
      <w:tr w:rsidR="005E314D" w14:paraId="78B65233" w14:textId="77777777" w:rsidTr="00B510EF">
        <w:trPr>
          <w:trHeight w:val="1035"/>
        </w:trPr>
        <w:tc>
          <w:tcPr>
            <w:tcW w:w="3633" w:type="dxa"/>
          </w:tcPr>
          <w:p w14:paraId="56D953CD" w14:textId="6A70CD64" w:rsidR="00CA2EC6" w:rsidRDefault="005E314D" w:rsidP="00185ECE">
            <w:r>
              <w:t>﻿</w:t>
            </w:r>
            <w:r w:rsidR="00185ECE">
              <w:t xml:space="preserve">﻿Antihypertensives </w:t>
            </w:r>
          </w:p>
          <w:p w14:paraId="4215E7E8" w14:textId="7BF3E65C" w:rsidR="005E314D" w:rsidRDefault="00185ECE" w:rsidP="00185ECE">
            <w:r>
              <w:t>Vasodilators</w:t>
            </w:r>
          </w:p>
        </w:tc>
        <w:tc>
          <w:tcPr>
            <w:tcW w:w="6869" w:type="dxa"/>
            <w:gridSpan w:val="2"/>
          </w:tcPr>
          <w:p w14:paraId="12B16126" w14:textId="77777777" w:rsidR="00185ECE" w:rsidRDefault="005E314D" w:rsidP="00185ECE">
            <w:r>
              <w:t>﻿</w:t>
            </w:r>
            <w:r w:rsidR="00185ECE">
              <w:t>﻿To lower BP quickly in hypertensive emergencies; to produce controlled hypotension to reduce bleeding during surgery; treatment of acute HF</w:t>
            </w:r>
          </w:p>
          <w:p w14:paraId="75E54C8A" w14:textId="0A5F0446" w:rsidR="005E314D" w:rsidRDefault="005E314D" w:rsidP="00185ECE"/>
        </w:tc>
      </w:tr>
      <w:tr w:rsidR="005E314D" w14:paraId="4301A471" w14:textId="77777777" w:rsidTr="00B510EF">
        <w:trPr>
          <w:trHeight w:val="360"/>
        </w:trPr>
        <w:tc>
          <w:tcPr>
            <w:tcW w:w="5250" w:type="dxa"/>
            <w:gridSpan w:val="2"/>
          </w:tcPr>
          <w:p w14:paraId="057C6957" w14:textId="77777777" w:rsidR="005E314D" w:rsidRDefault="005E314D" w:rsidP="00B510EF">
            <w:r>
              <w:t>Side effects/ adverse reactions:</w:t>
            </w:r>
          </w:p>
        </w:tc>
        <w:tc>
          <w:tcPr>
            <w:tcW w:w="5251" w:type="dxa"/>
          </w:tcPr>
          <w:p w14:paraId="10E1D6FF" w14:textId="77777777" w:rsidR="005E314D" w:rsidRDefault="005E314D" w:rsidP="00B510EF">
            <w:r>
              <w:t>Nursing Considerations:</w:t>
            </w:r>
          </w:p>
        </w:tc>
      </w:tr>
      <w:tr w:rsidR="005E314D" w:rsidRPr="00F00450" w14:paraId="3AD7D23B" w14:textId="77777777" w:rsidTr="00B510EF">
        <w:trPr>
          <w:trHeight w:val="4248"/>
        </w:trPr>
        <w:tc>
          <w:tcPr>
            <w:tcW w:w="5250" w:type="dxa"/>
            <w:gridSpan w:val="2"/>
          </w:tcPr>
          <w:p w14:paraId="310E588C" w14:textId="4115D470" w:rsidR="005E314D" w:rsidRDefault="005E314D" w:rsidP="00185ECE">
            <w:r>
              <w:t>﻿﻿</w:t>
            </w:r>
            <w:r w:rsidR="00185ECE">
              <w:t>﻿CNS: headache, dizziness, increased ICP, loss of consciousness, apprehension, restlessness. CV: bradycardia, hypotension, tachycardia, palpitations, ECG changes, flushing. GI: nausea, abdominal pain,</w:t>
            </w:r>
            <w:r w:rsidR="00185ECE">
              <w:t xml:space="preserve"> </w:t>
            </w:r>
            <w:r w:rsidR="00185ECE">
              <w:t>﻿ileus. Hematologic: methemoglobinemia, decreased platelet aggregation. Metabolic: acidosis, hypothyroidism. Musculoskeletal: muscle twitching. Skin: diaphoresis, pink color, rash. Other: thiocyanate toxicity, cyanide toxicity, venous streaking, irritation at IV site.</w:t>
            </w:r>
          </w:p>
        </w:tc>
        <w:tc>
          <w:tcPr>
            <w:tcW w:w="5251" w:type="dxa"/>
          </w:tcPr>
          <w:p w14:paraId="1FF62AD4" w14:textId="68A34AC6" w:rsidR="00185ECE" w:rsidRDefault="00185ECE" w:rsidP="00185ECE">
            <w:pPr>
              <w:tabs>
                <w:tab w:val="left" w:pos="1490"/>
              </w:tabs>
            </w:pPr>
            <w:r>
              <w:t>﻿• Contraindicated in patients hypersensitive to drug. • Contraindicated in patients with compensatory HTN (such as in arteriovenous shunt or coarctation of the aorta), inadequate cerebral circulation, acute HF with reduced peripheral vascular resistance (e.g., high-output HF in endotoxic sepsis), congenital optic atrophy, or tobacco-induced amblyopia, and in moribund patients coming to emergency surgery. • Use with extreme caution in patients with increased ICP. • Use cautiously in patients with hypothyroidism, hepatic or renal disease, hyponatremia,</w:t>
            </w:r>
            <w:r>
              <w:t xml:space="preserve"> </w:t>
            </w:r>
            <w:r>
              <w:t>﻿hyponatremia, or low vitamin B level and in those who are poor surgical risks.</w:t>
            </w:r>
          </w:p>
          <w:p w14:paraId="5B7888BC" w14:textId="3A228956" w:rsidR="00185ECE" w:rsidRDefault="00185ECE" w:rsidP="00185ECE">
            <w:pPr>
              <w:tabs>
                <w:tab w:val="left" w:pos="1490"/>
              </w:tabs>
            </w:pPr>
          </w:p>
          <w:p w14:paraId="0C529306" w14:textId="77777777" w:rsidR="00185ECE" w:rsidRDefault="00185ECE" w:rsidP="00185ECE">
            <w:pPr>
              <w:tabs>
                <w:tab w:val="left" w:pos="1490"/>
              </w:tabs>
            </w:pPr>
            <w:r>
              <w:t>﻿Drug can cause severe hypotension, which can lead to ischemic injuries or death. Use drug only when available equipment and personnel allow BP to be continuously monitored.  • Obtain baseline vital signs before giving drug; ascertain parameters prescriber wants to achieve. Monitor BP continuously. Patients receiving other antihypertensives may be more sensitive to drug. • Keep patient in supine position when starting therapy or titrating drug. Black Box Warning Giving excessive doses of 500 mcg/kg delivered faster than 2 mcg/kg/minute or using maximum infusion rate of 10 mcg/kg/minute for more than 10 minutes can cause cyanide toxicity.  Black Box Warning Although acid-base balance and venous oxygen concentration should be monitored and may indicate cyanide toxicity, these lab tests provide imperfect guidance.</w:t>
            </w:r>
          </w:p>
          <w:p w14:paraId="56DF1662" w14:textId="77777777" w:rsidR="00185ECE" w:rsidRDefault="00185ECE" w:rsidP="00185ECE">
            <w:pPr>
              <w:tabs>
                <w:tab w:val="left" w:pos="1490"/>
              </w:tabs>
            </w:pPr>
          </w:p>
          <w:p w14:paraId="0E67B001" w14:textId="4879183A" w:rsidR="005E314D" w:rsidRPr="00F00450" w:rsidRDefault="005E314D" w:rsidP="00185ECE">
            <w:pPr>
              <w:tabs>
                <w:tab w:val="left" w:pos="1490"/>
              </w:tabs>
            </w:pPr>
          </w:p>
        </w:tc>
      </w:tr>
    </w:tbl>
    <w:p w14:paraId="14670892" w14:textId="7CC6ED02" w:rsidR="005E314D" w:rsidRDefault="005E314D" w:rsidP="005E314D">
      <w:pPr>
        <w:tabs>
          <w:tab w:val="left" w:pos="1005"/>
        </w:tabs>
      </w:pPr>
    </w:p>
    <w:p w14:paraId="767F5CA3" w14:textId="0F11BD3F" w:rsidR="00185ECE" w:rsidRDefault="00185ECE" w:rsidP="005E314D">
      <w:pPr>
        <w:tabs>
          <w:tab w:val="left" w:pos="1005"/>
        </w:tabs>
      </w:pPr>
    </w:p>
    <w:p w14:paraId="3695E03F" w14:textId="2EC899DE" w:rsidR="00185ECE" w:rsidRDefault="00185ECE" w:rsidP="005E314D">
      <w:pPr>
        <w:tabs>
          <w:tab w:val="left" w:pos="1005"/>
        </w:tabs>
      </w:pPr>
    </w:p>
    <w:p w14:paraId="60C3B057" w14:textId="4E50D983" w:rsidR="00185ECE" w:rsidRDefault="00185ECE" w:rsidP="005E314D">
      <w:pPr>
        <w:tabs>
          <w:tab w:val="left" w:pos="1005"/>
        </w:tabs>
      </w:pPr>
    </w:p>
    <w:p w14:paraId="0EB5639D" w14:textId="5FBB3C86" w:rsidR="00185ECE" w:rsidRDefault="00185ECE" w:rsidP="005E314D">
      <w:pPr>
        <w:tabs>
          <w:tab w:val="left" w:pos="1005"/>
        </w:tabs>
      </w:pPr>
    </w:p>
    <w:p w14:paraId="2D0DCD41" w14:textId="0587F1A9" w:rsidR="00185ECE" w:rsidRDefault="00185ECE" w:rsidP="005E314D">
      <w:pPr>
        <w:tabs>
          <w:tab w:val="left" w:pos="1005"/>
        </w:tabs>
      </w:pPr>
    </w:p>
    <w:tbl>
      <w:tblPr>
        <w:tblStyle w:val="TableGrid"/>
        <w:tblpPr w:leftFromText="180" w:rightFromText="180" w:vertAnchor="page" w:horzAnchor="margin" w:tblpXSpec="center" w:tblpY="621"/>
        <w:tblW w:w="10502" w:type="dxa"/>
        <w:tblLook w:val="04A0" w:firstRow="1" w:lastRow="0" w:firstColumn="1" w:lastColumn="0" w:noHBand="0" w:noVBand="1"/>
      </w:tblPr>
      <w:tblGrid>
        <w:gridCol w:w="3633"/>
        <w:gridCol w:w="1617"/>
        <w:gridCol w:w="5252"/>
      </w:tblGrid>
      <w:tr w:rsidR="00185ECE" w:rsidRPr="00F00450" w14:paraId="72C76A87" w14:textId="77777777" w:rsidTr="00B510EF">
        <w:trPr>
          <w:trHeight w:val="441"/>
        </w:trPr>
        <w:tc>
          <w:tcPr>
            <w:tcW w:w="10502" w:type="dxa"/>
            <w:gridSpan w:val="3"/>
          </w:tcPr>
          <w:p w14:paraId="214F1AE4" w14:textId="234C3FE7" w:rsidR="00185ECE" w:rsidRPr="00F00450" w:rsidRDefault="00185ECE" w:rsidP="00B510EF">
            <w:pPr>
              <w:tabs>
                <w:tab w:val="left" w:pos="3483"/>
              </w:tabs>
              <w:jc w:val="center"/>
              <w:rPr>
                <w:b/>
                <w:bCs/>
                <w:sz w:val="32"/>
                <w:szCs w:val="32"/>
              </w:rPr>
            </w:pPr>
            <w:r>
              <w:rPr>
                <w:b/>
                <w:bCs/>
                <w:sz w:val="32"/>
                <w:szCs w:val="32"/>
              </w:rPr>
              <w:t>atenolol</w:t>
            </w:r>
            <w:r>
              <w:rPr>
                <w:b/>
                <w:bCs/>
                <w:sz w:val="32"/>
                <w:szCs w:val="32"/>
              </w:rPr>
              <w:t xml:space="preserve"> (</w:t>
            </w:r>
            <w:r>
              <w:rPr>
                <w:b/>
                <w:bCs/>
                <w:sz w:val="32"/>
                <w:szCs w:val="32"/>
              </w:rPr>
              <w:t>Tenormin</w:t>
            </w:r>
            <w:r>
              <w:rPr>
                <w:b/>
                <w:bCs/>
                <w:sz w:val="32"/>
                <w:szCs w:val="32"/>
              </w:rPr>
              <w:t>)</w:t>
            </w:r>
          </w:p>
        </w:tc>
      </w:tr>
      <w:tr w:rsidR="00185ECE" w14:paraId="256E6418" w14:textId="77777777" w:rsidTr="00B510EF">
        <w:trPr>
          <w:trHeight w:val="297"/>
        </w:trPr>
        <w:tc>
          <w:tcPr>
            <w:tcW w:w="3633" w:type="dxa"/>
          </w:tcPr>
          <w:p w14:paraId="674EA4BE" w14:textId="77777777" w:rsidR="00185ECE" w:rsidRDefault="00185ECE" w:rsidP="00B510EF">
            <w:r>
              <w:t>Classification:</w:t>
            </w:r>
          </w:p>
        </w:tc>
        <w:tc>
          <w:tcPr>
            <w:tcW w:w="6869" w:type="dxa"/>
            <w:gridSpan w:val="2"/>
          </w:tcPr>
          <w:p w14:paraId="4F12F5D9" w14:textId="77777777" w:rsidR="00185ECE" w:rsidRDefault="00185ECE" w:rsidP="00B510EF">
            <w:r>
              <w:t>Indication:</w:t>
            </w:r>
          </w:p>
        </w:tc>
      </w:tr>
      <w:tr w:rsidR="00185ECE" w14:paraId="0A8040E5" w14:textId="77777777" w:rsidTr="00B510EF">
        <w:trPr>
          <w:trHeight w:val="1035"/>
        </w:trPr>
        <w:tc>
          <w:tcPr>
            <w:tcW w:w="3633" w:type="dxa"/>
          </w:tcPr>
          <w:p w14:paraId="590E8240" w14:textId="685B3784" w:rsidR="00CA2EC6" w:rsidRDefault="00185ECE" w:rsidP="00185ECE">
            <w:r>
              <w:t xml:space="preserve">﻿﻿﻿Antihypertensives </w:t>
            </w:r>
          </w:p>
          <w:p w14:paraId="0DAA0DE8" w14:textId="07B22A54" w:rsidR="00185ECE" w:rsidRDefault="00185ECE" w:rsidP="00185ECE">
            <w:r>
              <w:t>Beta blockers</w:t>
            </w:r>
          </w:p>
          <w:p w14:paraId="1702B387" w14:textId="79642D6A" w:rsidR="00185ECE" w:rsidRDefault="00185ECE" w:rsidP="00185ECE"/>
        </w:tc>
        <w:tc>
          <w:tcPr>
            <w:tcW w:w="6869" w:type="dxa"/>
            <w:gridSpan w:val="2"/>
          </w:tcPr>
          <w:p w14:paraId="5DAE0E78" w14:textId="658B6781" w:rsidR="00185ECE" w:rsidRDefault="00185ECE" w:rsidP="00B510EF">
            <w:r>
              <w:t>﻿﻿</w:t>
            </w:r>
            <w:r>
              <w:t>HTN, Angina pectoris, Acute MI</w:t>
            </w:r>
          </w:p>
          <w:p w14:paraId="796DF5EB" w14:textId="77777777" w:rsidR="00185ECE" w:rsidRDefault="00185ECE" w:rsidP="00B510EF"/>
        </w:tc>
      </w:tr>
      <w:tr w:rsidR="00185ECE" w14:paraId="06ADC8EA" w14:textId="77777777" w:rsidTr="00B510EF">
        <w:trPr>
          <w:trHeight w:val="360"/>
        </w:trPr>
        <w:tc>
          <w:tcPr>
            <w:tcW w:w="5250" w:type="dxa"/>
            <w:gridSpan w:val="2"/>
          </w:tcPr>
          <w:p w14:paraId="754642DE" w14:textId="77777777" w:rsidR="00185ECE" w:rsidRDefault="00185ECE" w:rsidP="00B510EF">
            <w:r>
              <w:t>Side effects/ adverse reactions:</w:t>
            </w:r>
          </w:p>
        </w:tc>
        <w:tc>
          <w:tcPr>
            <w:tcW w:w="5251" w:type="dxa"/>
          </w:tcPr>
          <w:p w14:paraId="238028E6" w14:textId="77777777" w:rsidR="00185ECE" w:rsidRDefault="00185ECE" w:rsidP="00B510EF">
            <w:r>
              <w:t>Nursing Considerations:</w:t>
            </w:r>
          </w:p>
        </w:tc>
      </w:tr>
      <w:tr w:rsidR="00185ECE" w:rsidRPr="00F00450" w14:paraId="6A50929B" w14:textId="77777777" w:rsidTr="00B510EF">
        <w:trPr>
          <w:trHeight w:val="4248"/>
        </w:trPr>
        <w:tc>
          <w:tcPr>
            <w:tcW w:w="5250" w:type="dxa"/>
            <w:gridSpan w:val="2"/>
          </w:tcPr>
          <w:p w14:paraId="145FAE82" w14:textId="77777777" w:rsidR="00185ECE" w:rsidRDefault="00185ECE" w:rsidP="00185ECE">
            <w:r>
              <w:t>﻿﻿﻿﻿CNS: depression, dizziness, fatigue, lethargy, vertigo, drowsiness, fever, light-headedness. CV: orthostatic hypotension, bradycardia, HF, heart block, intermittent claudication, atrial fibrillation, supraventricular tachycardia, cardiac arrest, ventricular tachycardia. GI: nausea, diarrhea. Musculoskeletal: limb pain. Respiratory: bronchospasm, dyspnea, PE, wheezing. Skin: rash.</w:t>
            </w:r>
          </w:p>
          <w:p w14:paraId="540165D0" w14:textId="2193C363" w:rsidR="00185ECE" w:rsidRDefault="00185ECE" w:rsidP="00185ECE"/>
        </w:tc>
        <w:tc>
          <w:tcPr>
            <w:tcW w:w="5251" w:type="dxa"/>
          </w:tcPr>
          <w:p w14:paraId="1A91D123" w14:textId="77777777" w:rsidR="00185ECE" w:rsidRDefault="00185ECE" w:rsidP="00185ECE">
            <w:pPr>
              <w:tabs>
                <w:tab w:val="left" w:pos="1490"/>
              </w:tabs>
            </w:pPr>
            <w:r>
              <w:t>﻿• Monitor BP, preferably just before next dose, to evaluate effectiveness. • Monitor hemodialysis patients closely because of hypotension risk. • Beta blockers may mask tachycardia caused by hyperthyroidism. In patients with suspected thyrotoxicosis, withdraw beta blocker gradually to avoid thyroid storm. • Drug may mask signs and symptoms of hypoglycemia in diabetic patients. • Drug may cause changes in exercise tolerance and ECG. • Monitor patient for cardiac failure. Discontinue drug in patients who develop cardiac failure that doesn't respond to standard treatment. Black Box Warning Avoid abrupt discontinuation of therapy. Withdraw drug gradually</w:t>
            </w:r>
            <w:r>
              <w:t xml:space="preserve"> </w:t>
            </w:r>
            <w:r>
              <w:t xml:space="preserve">﻿to avoid serious adverse reactions, such as severe exacerbations of angina, MI, and ventricular arrhythmias even in patients treated only for HTN. </w:t>
            </w:r>
          </w:p>
          <w:p w14:paraId="3B133121" w14:textId="77777777" w:rsidR="00185ECE" w:rsidRPr="00F00450" w:rsidRDefault="00185ECE" w:rsidP="00185ECE">
            <w:pPr>
              <w:tabs>
                <w:tab w:val="left" w:pos="1490"/>
              </w:tabs>
            </w:pPr>
          </w:p>
        </w:tc>
      </w:tr>
    </w:tbl>
    <w:p w14:paraId="4B4E98F7" w14:textId="4A0D9978" w:rsidR="00185ECE" w:rsidRDefault="00185ECE" w:rsidP="005E314D">
      <w:pPr>
        <w:tabs>
          <w:tab w:val="left" w:pos="1005"/>
        </w:tabs>
      </w:pPr>
    </w:p>
    <w:p w14:paraId="06C57620" w14:textId="605161D2" w:rsidR="00D76A8F" w:rsidRDefault="00D76A8F" w:rsidP="005E314D">
      <w:pPr>
        <w:tabs>
          <w:tab w:val="left" w:pos="1005"/>
        </w:tabs>
      </w:pPr>
    </w:p>
    <w:p w14:paraId="2D2297F9" w14:textId="232CE767" w:rsidR="00D76A8F" w:rsidRDefault="00D76A8F" w:rsidP="005E314D">
      <w:pPr>
        <w:tabs>
          <w:tab w:val="left" w:pos="1005"/>
        </w:tabs>
      </w:pPr>
    </w:p>
    <w:p w14:paraId="0CB619E3" w14:textId="410BC72C" w:rsidR="00D76A8F" w:rsidRDefault="00D76A8F" w:rsidP="005E314D">
      <w:pPr>
        <w:tabs>
          <w:tab w:val="left" w:pos="1005"/>
        </w:tabs>
      </w:pPr>
    </w:p>
    <w:p w14:paraId="7BE4B52D" w14:textId="10078985" w:rsidR="00D76A8F" w:rsidRDefault="00D76A8F" w:rsidP="005E314D">
      <w:pPr>
        <w:tabs>
          <w:tab w:val="left" w:pos="1005"/>
        </w:tabs>
      </w:pPr>
    </w:p>
    <w:tbl>
      <w:tblPr>
        <w:tblStyle w:val="TableGrid"/>
        <w:tblpPr w:leftFromText="180" w:rightFromText="180" w:vertAnchor="page" w:horzAnchor="margin" w:tblpXSpec="center" w:tblpY="621"/>
        <w:tblW w:w="10502" w:type="dxa"/>
        <w:tblLook w:val="04A0" w:firstRow="1" w:lastRow="0" w:firstColumn="1" w:lastColumn="0" w:noHBand="0" w:noVBand="1"/>
      </w:tblPr>
      <w:tblGrid>
        <w:gridCol w:w="3633"/>
        <w:gridCol w:w="1617"/>
        <w:gridCol w:w="5252"/>
      </w:tblGrid>
      <w:tr w:rsidR="00D76A8F" w:rsidRPr="00F00450" w14:paraId="75D58C52" w14:textId="77777777" w:rsidTr="00B510EF">
        <w:trPr>
          <w:trHeight w:val="441"/>
        </w:trPr>
        <w:tc>
          <w:tcPr>
            <w:tcW w:w="10502" w:type="dxa"/>
            <w:gridSpan w:val="3"/>
          </w:tcPr>
          <w:p w14:paraId="2AAACF0A" w14:textId="36CD9FB8" w:rsidR="00D76A8F" w:rsidRPr="00F00450" w:rsidRDefault="00D76A8F" w:rsidP="00B510EF">
            <w:pPr>
              <w:tabs>
                <w:tab w:val="left" w:pos="3483"/>
              </w:tabs>
              <w:jc w:val="center"/>
              <w:rPr>
                <w:b/>
                <w:bCs/>
                <w:sz w:val="32"/>
                <w:szCs w:val="32"/>
              </w:rPr>
            </w:pPr>
            <w:r>
              <w:rPr>
                <w:b/>
                <w:bCs/>
                <w:sz w:val="32"/>
                <w:szCs w:val="32"/>
              </w:rPr>
              <w:lastRenderedPageBreak/>
              <w:t>metoprolol</w:t>
            </w:r>
            <w:r>
              <w:rPr>
                <w:b/>
                <w:bCs/>
                <w:sz w:val="32"/>
                <w:szCs w:val="32"/>
              </w:rPr>
              <w:t xml:space="preserve"> (</w:t>
            </w:r>
            <w:r>
              <w:rPr>
                <w:b/>
                <w:bCs/>
                <w:sz w:val="32"/>
                <w:szCs w:val="32"/>
              </w:rPr>
              <w:t>Lopressor</w:t>
            </w:r>
            <w:r w:rsidR="00CA2EC6">
              <w:rPr>
                <w:b/>
                <w:bCs/>
                <w:sz w:val="32"/>
                <w:szCs w:val="32"/>
              </w:rPr>
              <w:t xml:space="preserve"> and Toprol XL</w:t>
            </w:r>
            <w:r>
              <w:rPr>
                <w:b/>
                <w:bCs/>
                <w:sz w:val="32"/>
                <w:szCs w:val="32"/>
              </w:rPr>
              <w:t>)</w:t>
            </w:r>
          </w:p>
        </w:tc>
      </w:tr>
      <w:tr w:rsidR="00D76A8F" w14:paraId="6639E18E" w14:textId="77777777" w:rsidTr="00B510EF">
        <w:trPr>
          <w:trHeight w:val="297"/>
        </w:trPr>
        <w:tc>
          <w:tcPr>
            <w:tcW w:w="3633" w:type="dxa"/>
          </w:tcPr>
          <w:p w14:paraId="1C750FE4" w14:textId="77777777" w:rsidR="00D76A8F" w:rsidRDefault="00D76A8F" w:rsidP="00B510EF">
            <w:r>
              <w:t>Classification:</w:t>
            </w:r>
          </w:p>
        </w:tc>
        <w:tc>
          <w:tcPr>
            <w:tcW w:w="6869" w:type="dxa"/>
            <w:gridSpan w:val="2"/>
          </w:tcPr>
          <w:p w14:paraId="51EF5918" w14:textId="77777777" w:rsidR="00D76A8F" w:rsidRDefault="00D76A8F" w:rsidP="00B510EF">
            <w:r>
              <w:t>Indication:</w:t>
            </w:r>
          </w:p>
        </w:tc>
      </w:tr>
      <w:tr w:rsidR="00D76A8F" w14:paraId="043568EE" w14:textId="77777777" w:rsidTr="00B510EF">
        <w:trPr>
          <w:trHeight w:val="1035"/>
        </w:trPr>
        <w:tc>
          <w:tcPr>
            <w:tcW w:w="3633" w:type="dxa"/>
          </w:tcPr>
          <w:p w14:paraId="4BCAF6AB" w14:textId="6766B2A5" w:rsidR="00D76A8F" w:rsidRDefault="00D76A8F" w:rsidP="00D76A8F">
            <w:r>
              <w:t xml:space="preserve">﻿﻿﻿﻿Antihypertensives </w:t>
            </w:r>
          </w:p>
          <w:p w14:paraId="0C4F449E" w14:textId="6DD033F8" w:rsidR="00D76A8F" w:rsidRDefault="00D76A8F" w:rsidP="00D76A8F">
            <w:r>
              <w:t>Selective beta-adrenergic blockers</w:t>
            </w:r>
          </w:p>
          <w:p w14:paraId="69A95736" w14:textId="77777777" w:rsidR="00D76A8F" w:rsidRDefault="00D76A8F" w:rsidP="00D76A8F"/>
        </w:tc>
        <w:tc>
          <w:tcPr>
            <w:tcW w:w="6869" w:type="dxa"/>
            <w:gridSpan w:val="2"/>
          </w:tcPr>
          <w:p w14:paraId="20838FC1" w14:textId="3C8CBB4B" w:rsidR="00D76A8F" w:rsidRDefault="00D76A8F" w:rsidP="00B510EF">
            <w:r>
              <w:t xml:space="preserve">﻿﻿HTN, </w:t>
            </w:r>
            <w:r>
              <w:t>Early intervention in acute MI, Angina pectoris</w:t>
            </w:r>
          </w:p>
          <w:p w14:paraId="7DFA11C5" w14:textId="4826CE7A" w:rsidR="00D76A8F" w:rsidRDefault="00D76A8F" w:rsidP="00B510EF">
            <w:r>
              <w:t>Stable symptomatic HF (NYHA Class II) resulting from ischemia, HTN, or cardiomyopathy</w:t>
            </w:r>
          </w:p>
          <w:p w14:paraId="722EB07C" w14:textId="77777777" w:rsidR="00D76A8F" w:rsidRDefault="00D76A8F" w:rsidP="00B510EF"/>
        </w:tc>
      </w:tr>
      <w:tr w:rsidR="00D76A8F" w14:paraId="1EAAD319" w14:textId="77777777" w:rsidTr="00B510EF">
        <w:trPr>
          <w:trHeight w:val="360"/>
        </w:trPr>
        <w:tc>
          <w:tcPr>
            <w:tcW w:w="5250" w:type="dxa"/>
            <w:gridSpan w:val="2"/>
          </w:tcPr>
          <w:p w14:paraId="10072AE3" w14:textId="77777777" w:rsidR="00D76A8F" w:rsidRDefault="00D76A8F" w:rsidP="00B510EF">
            <w:r>
              <w:t>Side effects/ adverse reactions:</w:t>
            </w:r>
          </w:p>
        </w:tc>
        <w:tc>
          <w:tcPr>
            <w:tcW w:w="5251" w:type="dxa"/>
          </w:tcPr>
          <w:p w14:paraId="7E04F152" w14:textId="77777777" w:rsidR="00D76A8F" w:rsidRDefault="00D76A8F" w:rsidP="00B510EF">
            <w:r>
              <w:t>Nursing Considerations:</w:t>
            </w:r>
          </w:p>
        </w:tc>
      </w:tr>
      <w:tr w:rsidR="00D76A8F" w:rsidRPr="00F00450" w14:paraId="27E6DD64" w14:textId="77777777" w:rsidTr="00B510EF">
        <w:trPr>
          <w:trHeight w:val="4248"/>
        </w:trPr>
        <w:tc>
          <w:tcPr>
            <w:tcW w:w="5250" w:type="dxa"/>
            <w:gridSpan w:val="2"/>
          </w:tcPr>
          <w:p w14:paraId="5B9886E6" w14:textId="77777777" w:rsidR="00540F3F" w:rsidRDefault="00D76A8F" w:rsidP="00540F3F">
            <w:r>
              <w:t>﻿﻿﻿﻿</w:t>
            </w:r>
            <w:r w:rsidR="00540F3F">
              <w:t>﻿CNS: fatigue, dizziness, depression, headache, insomnia, mental confusion, nightmares, short-term memory loss, hallucinations, vertigo. CV: hypotension, bradycardia, HF, edema, palpitations, stroke. EENT: blurred vision, tinnitus, rhinitis. GI: nausea, diarrhea, constipation, heartburn, dry mouth, flatulence, gastric pain, vomiting. GU: decreased libido, erectile dysfunction. Musculoskeletal: pain. Respiratory: dyspnea, wheezing, bronchospasm. Skin: rash, pruritus.</w:t>
            </w:r>
          </w:p>
          <w:p w14:paraId="01E83DDD" w14:textId="77777777" w:rsidR="00D76A8F" w:rsidRDefault="00D76A8F" w:rsidP="00540F3F"/>
        </w:tc>
        <w:tc>
          <w:tcPr>
            <w:tcW w:w="5251" w:type="dxa"/>
          </w:tcPr>
          <w:p w14:paraId="1DD95414" w14:textId="77777777" w:rsidR="00540F3F" w:rsidRDefault="00540F3F" w:rsidP="00540F3F">
            <w:pPr>
              <w:tabs>
                <w:tab w:val="left" w:pos="1490"/>
              </w:tabs>
            </w:pPr>
            <w:r>
              <w:t>﻿• Always check patient's apical pulse rate before giving drug. If it's slower than 60 beats/minute, withhold drug and contact prescriber immediately to verify dose. • In diabetic patients, monitor glucose level closely because drug masks common signs and symptoms of hypoglycemia. • Monitor BP frequently; drug masks common signs and symptoms of shock. • Beta blockers may mask tachycardia caused by hyperthyroidism. In patients with suspected thyrotoxicosis, taper off beta blocker to avoid thyroid storm. Black Box Warning When stopping therapy, taper dosage over 1 to 2 weeks. Abrupt discontinuation may cause exacerbations of angina or MI. Don't discontinue therapy abruptly even in patients treated only for HTN.  • Beta selectivity is lost at higher doses. Watch for peripheral side effects.</w:t>
            </w:r>
          </w:p>
          <w:p w14:paraId="3FAE9715" w14:textId="584259A0" w:rsidR="00D76A8F" w:rsidRPr="00F00450" w:rsidRDefault="00540F3F" w:rsidP="00540F3F">
            <w:pPr>
              <w:tabs>
                <w:tab w:val="left" w:pos="1490"/>
              </w:tabs>
            </w:pPr>
            <w:r>
              <w:t xml:space="preserve"> </w:t>
            </w:r>
          </w:p>
        </w:tc>
      </w:tr>
    </w:tbl>
    <w:p w14:paraId="0C3364B3" w14:textId="56BB3A10" w:rsidR="00D76A8F" w:rsidRDefault="00D76A8F" w:rsidP="005E314D">
      <w:pPr>
        <w:tabs>
          <w:tab w:val="left" w:pos="1005"/>
        </w:tabs>
      </w:pPr>
    </w:p>
    <w:p w14:paraId="67AF6DF9" w14:textId="501AD474" w:rsidR="007401D8" w:rsidRDefault="007401D8" w:rsidP="005E314D">
      <w:pPr>
        <w:tabs>
          <w:tab w:val="left" w:pos="1005"/>
        </w:tabs>
      </w:pPr>
    </w:p>
    <w:p w14:paraId="30554EAB" w14:textId="53B7B882" w:rsidR="007401D8" w:rsidRDefault="007401D8" w:rsidP="005E314D">
      <w:pPr>
        <w:tabs>
          <w:tab w:val="left" w:pos="1005"/>
        </w:tabs>
      </w:pPr>
    </w:p>
    <w:p w14:paraId="4A2E2A85" w14:textId="6821FB3E" w:rsidR="007401D8" w:rsidRDefault="007401D8" w:rsidP="005E314D">
      <w:pPr>
        <w:tabs>
          <w:tab w:val="left" w:pos="1005"/>
        </w:tabs>
      </w:pPr>
    </w:p>
    <w:tbl>
      <w:tblPr>
        <w:tblStyle w:val="TableGrid"/>
        <w:tblpPr w:leftFromText="180" w:rightFromText="180" w:vertAnchor="page" w:horzAnchor="margin" w:tblpXSpec="center" w:tblpY="621"/>
        <w:tblW w:w="10502" w:type="dxa"/>
        <w:tblLook w:val="04A0" w:firstRow="1" w:lastRow="0" w:firstColumn="1" w:lastColumn="0" w:noHBand="0" w:noVBand="1"/>
      </w:tblPr>
      <w:tblGrid>
        <w:gridCol w:w="3633"/>
        <w:gridCol w:w="1617"/>
        <w:gridCol w:w="5252"/>
      </w:tblGrid>
      <w:tr w:rsidR="007401D8" w:rsidRPr="00F00450" w14:paraId="256C562F" w14:textId="77777777" w:rsidTr="00B510EF">
        <w:trPr>
          <w:trHeight w:val="441"/>
        </w:trPr>
        <w:tc>
          <w:tcPr>
            <w:tcW w:w="10502" w:type="dxa"/>
            <w:gridSpan w:val="3"/>
          </w:tcPr>
          <w:p w14:paraId="5D29BE09" w14:textId="469C1697" w:rsidR="007401D8" w:rsidRPr="00F00450" w:rsidRDefault="007401D8" w:rsidP="00B510EF">
            <w:pPr>
              <w:tabs>
                <w:tab w:val="left" w:pos="3483"/>
              </w:tabs>
              <w:jc w:val="center"/>
              <w:rPr>
                <w:b/>
                <w:bCs/>
                <w:sz w:val="32"/>
                <w:szCs w:val="32"/>
              </w:rPr>
            </w:pPr>
            <w:r>
              <w:rPr>
                <w:b/>
                <w:bCs/>
                <w:sz w:val="32"/>
                <w:szCs w:val="32"/>
              </w:rPr>
              <w:lastRenderedPageBreak/>
              <w:t>furosemide</w:t>
            </w:r>
            <w:r>
              <w:rPr>
                <w:b/>
                <w:bCs/>
                <w:sz w:val="32"/>
                <w:szCs w:val="32"/>
              </w:rPr>
              <w:t xml:space="preserve"> (</w:t>
            </w:r>
            <w:r>
              <w:rPr>
                <w:b/>
                <w:bCs/>
                <w:sz w:val="32"/>
                <w:szCs w:val="32"/>
              </w:rPr>
              <w:t>Lasix</w:t>
            </w:r>
            <w:r>
              <w:rPr>
                <w:b/>
                <w:bCs/>
                <w:sz w:val="32"/>
                <w:szCs w:val="32"/>
              </w:rPr>
              <w:t>)</w:t>
            </w:r>
          </w:p>
        </w:tc>
      </w:tr>
      <w:tr w:rsidR="007401D8" w14:paraId="7FA5C7D1" w14:textId="77777777" w:rsidTr="00B510EF">
        <w:trPr>
          <w:trHeight w:val="297"/>
        </w:trPr>
        <w:tc>
          <w:tcPr>
            <w:tcW w:w="3633" w:type="dxa"/>
          </w:tcPr>
          <w:p w14:paraId="483306AA" w14:textId="77777777" w:rsidR="007401D8" w:rsidRDefault="007401D8" w:rsidP="00B510EF">
            <w:r>
              <w:t>Classification:</w:t>
            </w:r>
          </w:p>
        </w:tc>
        <w:tc>
          <w:tcPr>
            <w:tcW w:w="6869" w:type="dxa"/>
            <w:gridSpan w:val="2"/>
          </w:tcPr>
          <w:p w14:paraId="68938D6F" w14:textId="77777777" w:rsidR="007401D8" w:rsidRDefault="007401D8" w:rsidP="00B510EF">
            <w:r>
              <w:t>Indication:</w:t>
            </w:r>
          </w:p>
        </w:tc>
      </w:tr>
      <w:tr w:rsidR="007401D8" w14:paraId="0F1574B0" w14:textId="77777777" w:rsidTr="00B510EF">
        <w:trPr>
          <w:trHeight w:val="1035"/>
        </w:trPr>
        <w:tc>
          <w:tcPr>
            <w:tcW w:w="3633" w:type="dxa"/>
          </w:tcPr>
          <w:p w14:paraId="1423B3DC" w14:textId="76CEE957" w:rsidR="00DF501A" w:rsidRDefault="007401D8" w:rsidP="00DF501A">
            <w:r>
              <w:t>﻿﻿﻿﻿</w:t>
            </w:r>
            <w:r w:rsidR="00DF501A">
              <w:t xml:space="preserve">Antihypertensives </w:t>
            </w:r>
          </w:p>
          <w:p w14:paraId="153A6E67" w14:textId="51459E18" w:rsidR="00DF501A" w:rsidRDefault="00DF501A" w:rsidP="00DF501A">
            <w:r>
              <w:t>Loop diuretics</w:t>
            </w:r>
          </w:p>
          <w:p w14:paraId="48CD77C8" w14:textId="6360D5A7" w:rsidR="007401D8" w:rsidRDefault="00DF501A" w:rsidP="00DF501A">
            <w:r>
              <w:t xml:space="preserve"> </w:t>
            </w:r>
          </w:p>
        </w:tc>
        <w:tc>
          <w:tcPr>
            <w:tcW w:w="6869" w:type="dxa"/>
            <w:gridSpan w:val="2"/>
          </w:tcPr>
          <w:p w14:paraId="322069B4" w14:textId="77777777" w:rsidR="007401D8" w:rsidRDefault="007401D8" w:rsidP="00DF501A">
            <w:r>
              <w:t>﻿﻿</w:t>
            </w:r>
            <w:r w:rsidR="00DF501A">
              <w:t>Acute pulmonary edema</w:t>
            </w:r>
          </w:p>
          <w:p w14:paraId="1AD5972E" w14:textId="0BFD90AF" w:rsidR="00DF501A" w:rsidRDefault="00DF501A" w:rsidP="00DF501A">
            <w:r>
              <w:t>Edema, HTN</w:t>
            </w:r>
          </w:p>
        </w:tc>
      </w:tr>
      <w:tr w:rsidR="007401D8" w14:paraId="561C3F98" w14:textId="77777777" w:rsidTr="00B510EF">
        <w:trPr>
          <w:trHeight w:val="360"/>
        </w:trPr>
        <w:tc>
          <w:tcPr>
            <w:tcW w:w="5250" w:type="dxa"/>
            <w:gridSpan w:val="2"/>
          </w:tcPr>
          <w:p w14:paraId="452A4786" w14:textId="77777777" w:rsidR="007401D8" w:rsidRDefault="007401D8" w:rsidP="00B510EF">
            <w:r>
              <w:t>Side effects/ adverse reactions:</w:t>
            </w:r>
          </w:p>
        </w:tc>
        <w:tc>
          <w:tcPr>
            <w:tcW w:w="5251" w:type="dxa"/>
          </w:tcPr>
          <w:p w14:paraId="0206B361" w14:textId="77777777" w:rsidR="007401D8" w:rsidRDefault="007401D8" w:rsidP="00B510EF">
            <w:r>
              <w:t>Nursing Considerations:</w:t>
            </w:r>
          </w:p>
        </w:tc>
      </w:tr>
      <w:tr w:rsidR="007401D8" w:rsidRPr="00F00450" w14:paraId="3B2ED7D1" w14:textId="77777777" w:rsidTr="00B510EF">
        <w:trPr>
          <w:trHeight w:val="4248"/>
        </w:trPr>
        <w:tc>
          <w:tcPr>
            <w:tcW w:w="5250" w:type="dxa"/>
            <w:gridSpan w:val="2"/>
          </w:tcPr>
          <w:p w14:paraId="40C9A70D" w14:textId="29513150" w:rsidR="00DF501A" w:rsidRDefault="007401D8" w:rsidP="00DF501A">
            <w:r>
              <w:t>﻿﻿﻿﻿﻿</w:t>
            </w:r>
            <w:r w:rsidR="00DF501A">
              <w:t xml:space="preserve"> </w:t>
            </w:r>
            <w:r w:rsidR="00DF501A">
              <w:t xml:space="preserve">﻿CNS: vertigo, headache, dizziness, paresthesia, weakness, restlessness, fever. CV: orthostatic hypotension, thrombophlebitis with IV administration. EENT: blurred or yellowed vision, transient deafness, tinnitus. GI: abdominal discomfort and pain, diarrhea, anorexia, nausea, vomiting, constipation, pancreatitis. GU: azotemia, </w:t>
            </w:r>
            <w:proofErr w:type="spellStart"/>
            <w:r w:rsidR="00DF501A">
              <w:t>nocturia</w:t>
            </w:r>
            <w:proofErr w:type="spellEnd"/>
            <w:r w:rsidR="00DF501A">
              <w:t xml:space="preserve">, polyuria, frequent urination, oliguria. Hematologic: agranulocytosis, aplastic anemia, leukopenia, thrombocytopenia, anemia. Hepatic: hepatic dysfunction, jaundice, increased liver enzyme levels. Metabolic: volume depletion and dehydration, asymptomatic hyperuricemia, impaired glucose tolerance, hypokalemia, </w:t>
            </w:r>
            <w:proofErr w:type="spellStart"/>
            <w:r w:rsidR="00DF501A">
              <w:t>hypochloremic</w:t>
            </w:r>
            <w:proofErr w:type="spellEnd"/>
            <w:r w:rsidR="00DF501A">
              <w:t xml:space="preserve"> alkalosis, hyperglycemia, dilutional hyponatremia, hypocalcemia, hypomagnesemia. Musculoskeletal: muscle spasm. Skin: dermatitis, purpura, photosensitivity reactions, transient pain at IM injection site, toxic epidermal necrolysis, SJS, erythema multiforme. Other: gout.</w:t>
            </w:r>
          </w:p>
          <w:p w14:paraId="376C2993" w14:textId="77777777" w:rsidR="007401D8" w:rsidRDefault="007401D8" w:rsidP="00DF501A"/>
        </w:tc>
        <w:tc>
          <w:tcPr>
            <w:tcW w:w="5251" w:type="dxa"/>
          </w:tcPr>
          <w:p w14:paraId="3A2F3ED0" w14:textId="77777777" w:rsidR="00DF501A" w:rsidRDefault="00DF501A" w:rsidP="00DF501A">
            <w:pPr>
              <w:tabs>
                <w:tab w:val="left" w:pos="1490"/>
              </w:tabs>
            </w:pPr>
            <w:r>
              <w:t>﻿Monitor weight, BP, and pulse rate routinely with long-term use.</w:t>
            </w:r>
          </w:p>
          <w:p w14:paraId="37F58C44" w14:textId="77777777" w:rsidR="00DF501A" w:rsidRDefault="00DF501A" w:rsidP="00DF501A">
            <w:pPr>
              <w:tabs>
                <w:tab w:val="left" w:pos="1490"/>
              </w:tabs>
            </w:pPr>
            <w:r>
              <w:t xml:space="preserve">﻿Drug is potent diuretic and can cause severe diuresis with water and electrolyte depletion. Monitor patient closely and adjust dose carefully.  • If oliguria or azotemia develops or increases, drug may need to be stopped. • Monitor fluid intake and output and electrolyte, BUN, and carbon dioxide levels frequently. • Watch for signs of hypokalemia, such as muscle weakness and cramps. • Consult prescriber and dietitian about a high-potassium diet or potassium supplements. • Monitor glucose level in diabetic patients. • Drug may not be well absorbed orally in patient with severe HF. Drug may need to be given IV even if patient is taking other oral drugs. • Monitor uric acid level, especially in patients with a history of gout. • Monitor elderly patients, who are especially susceptible to excessive diuresis, because circulatory collapse and thromboembolic complications are possible. • Monitor patients with severe symptoms of urine retention due to bladder emptying disorders, prostate enlargement, or urethral narrowing or worsening of symptoms, especially during initial treatment. • Drug may increase fetal birth weight. Monitor fetal growth during pregnancy. • </w:t>
            </w:r>
            <w:proofErr w:type="spellStart"/>
            <w:r>
              <w:t>Nephrocalcinosis</w:t>
            </w:r>
            <w:proofErr w:type="spellEnd"/>
            <w:r>
              <w:t xml:space="preserve"> and nephrolithiasis have occurred in premature infants and in children younger than age 4 on long-term furosemide therapy. Monitor renal function and renal ultrasounds.</w:t>
            </w:r>
          </w:p>
          <w:p w14:paraId="18E8EF3E" w14:textId="79772927" w:rsidR="007401D8" w:rsidRPr="00F00450" w:rsidRDefault="007401D8" w:rsidP="00DF501A">
            <w:pPr>
              <w:tabs>
                <w:tab w:val="left" w:pos="1490"/>
              </w:tabs>
            </w:pPr>
          </w:p>
        </w:tc>
      </w:tr>
    </w:tbl>
    <w:p w14:paraId="7AB06BF0" w14:textId="3E5913A4" w:rsidR="007401D8" w:rsidRDefault="007401D8" w:rsidP="005E314D">
      <w:pPr>
        <w:tabs>
          <w:tab w:val="left" w:pos="1005"/>
        </w:tabs>
      </w:pPr>
    </w:p>
    <w:p w14:paraId="7A535337" w14:textId="69AC609C" w:rsidR="004F4AD1" w:rsidRDefault="004F4AD1" w:rsidP="005E314D">
      <w:pPr>
        <w:tabs>
          <w:tab w:val="left" w:pos="1005"/>
        </w:tabs>
      </w:pPr>
    </w:p>
    <w:p w14:paraId="150335CA" w14:textId="37333630" w:rsidR="004F4AD1" w:rsidRDefault="004F4AD1" w:rsidP="005E314D">
      <w:pPr>
        <w:tabs>
          <w:tab w:val="left" w:pos="1005"/>
        </w:tabs>
      </w:pPr>
    </w:p>
    <w:p w14:paraId="42B2A4EE" w14:textId="5A6E21F7" w:rsidR="004F4AD1" w:rsidRDefault="004F4AD1" w:rsidP="005E314D">
      <w:pPr>
        <w:tabs>
          <w:tab w:val="left" w:pos="1005"/>
        </w:tabs>
      </w:pPr>
    </w:p>
    <w:p w14:paraId="4E19E2F6" w14:textId="5224D63A" w:rsidR="004F4AD1" w:rsidRDefault="004F4AD1" w:rsidP="005E314D">
      <w:pPr>
        <w:tabs>
          <w:tab w:val="left" w:pos="1005"/>
        </w:tabs>
      </w:pPr>
    </w:p>
    <w:p w14:paraId="7BFEB738" w14:textId="75C7CBC3" w:rsidR="004F4AD1" w:rsidRDefault="004F4AD1" w:rsidP="005E314D">
      <w:pPr>
        <w:tabs>
          <w:tab w:val="left" w:pos="1005"/>
        </w:tabs>
      </w:pPr>
    </w:p>
    <w:tbl>
      <w:tblPr>
        <w:tblStyle w:val="TableGrid"/>
        <w:tblpPr w:leftFromText="180" w:rightFromText="180" w:vertAnchor="page" w:horzAnchor="margin" w:tblpXSpec="center" w:tblpY="621"/>
        <w:tblW w:w="10502" w:type="dxa"/>
        <w:tblLook w:val="04A0" w:firstRow="1" w:lastRow="0" w:firstColumn="1" w:lastColumn="0" w:noHBand="0" w:noVBand="1"/>
      </w:tblPr>
      <w:tblGrid>
        <w:gridCol w:w="3633"/>
        <w:gridCol w:w="1617"/>
        <w:gridCol w:w="5252"/>
      </w:tblGrid>
      <w:tr w:rsidR="004F4AD1" w:rsidRPr="00F00450" w14:paraId="21B48D91" w14:textId="77777777" w:rsidTr="00B510EF">
        <w:trPr>
          <w:trHeight w:val="441"/>
        </w:trPr>
        <w:tc>
          <w:tcPr>
            <w:tcW w:w="10502" w:type="dxa"/>
            <w:gridSpan w:val="3"/>
          </w:tcPr>
          <w:p w14:paraId="2CA71A9C" w14:textId="1866EB5B" w:rsidR="004F4AD1" w:rsidRPr="00F00450" w:rsidRDefault="004F4AD1" w:rsidP="00B510EF">
            <w:pPr>
              <w:tabs>
                <w:tab w:val="left" w:pos="3483"/>
              </w:tabs>
              <w:jc w:val="center"/>
              <w:rPr>
                <w:b/>
                <w:bCs/>
                <w:sz w:val="32"/>
                <w:szCs w:val="32"/>
              </w:rPr>
            </w:pPr>
            <w:r>
              <w:rPr>
                <w:b/>
                <w:bCs/>
                <w:sz w:val="32"/>
                <w:szCs w:val="32"/>
              </w:rPr>
              <w:lastRenderedPageBreak/>
              <w:t>norepinephrine</w:t>
            </w:r>
            <w:r>
              <w:rPr>
                <w:b/>
                <w:bCs/>
                <w:sz w:val="32"/>
                <w:szCs w:val="32"/>
              </w:rPr>
              <w:t xml:space="preserve"> (</w:t>
            </w:r>
            <w:proofErr w:type="spellStart"/>
            <w:r>
              <w:rPr>
                <w:b/>
                <w:bCs/>
                <w:sz w:val="32"/>
                <w:szCs w:val="32"/>
              </w:rPr>
              <w:t>Levophed</w:t>
            </w:r>
            <w:proofErr w:type="spellEnd"/>
            <w:r w:rsidR="00CA2EC6">
              <w:rPr>
                <w:b/>
                <w:bCs/>
                <w:sz w:val="32"/>
                <w:szCs w:val="32"/>
              </w:rPr>
              <w:t>, Levarterenol</w:t>
            </w:r>
            <w:r>
              <w:rPr>
                <w:b/>
                <w:bCs/>
                <w:sz w:val="32"/>
                <w:szCs w:val="32"/>
              </w:rPr>
              <w:t>)</w:t>
            </w:r>
          </w:p>
        </w:tc>
      </w:tr>
      <w:tr w:rsidR="004F4AD1" w14:paraId="27568E6B" w14:textId="77777777" w:rsidTr="00B510EF">
        <w:trPr>
          <w:trHeight w:val="297"/>
        </w:trPr>
        <w:tc>
          <w:tcPr>
            <w:tcW w:w="3633" w:type="dxa"/>
          </w:tcPr>
          <w:p w14:paraId="26A7C4AD" w14:textId="77777777" w:rsidR="004F4AD1" w:rsidRDefault="004F4AD1" w:rsidP="00B510EF">
            <w:r>
              <w:t>Classification:</w:t>
            </w:r>
          </w:p>
        </w:tc>
        <w:tc>
          <w:tcPr>
            <w:tcW w:w="6869" w:type="dxa"/>
            <w:gridSpan w:val="2"/>
          </w:tcPr>
          <w:p w14:paraId="0D30E1E4" w14:textId="77777777" w:rsidR="004F4AD1" w:rsidRDefault="004F4AD1" w:rsidP="00B510EF">
            <w:r>
              <w:t>Indication:</w:t>
            </w:r>
          </w:p>
        </w:tc>
      </w:tr>
      <w:tr w:rsidR="004F4AD1" w14:paraId="070C784D" w14:textId="77777777" w:rsidTr="00B510EF">
        <w:trPr>
          <w:trHeight w:val="1035"/>
        </w:trPr>
        <w:tc>
          <w:tcPr>
            <w:tcW w:w="3633" w:type="dxa"/>
          </w:tcPr>
          <w:p w14:paraId="56F6B2BF" w14:textId="51343B0D" w:rsidR="00CA2EC6" w:rsidRDefault="004F4AD1" w:rsidP="004F4AD1">
            <w:r>
              <w:t xml:space="preserve">﻿﻿﻿﻿Vasopressors </w:t>
            </w:r>
          </w:p>
          <w:p w14:paraId="36375140" w14:textId="39E9BCA4" w:rsidR="004F4AD1" w:rsidRDefault="004F4AD1" w:rsidP="004F4AD1">
            <w:r>
              <w:t xml:space="preserve">Alpha/beta agonists </w:t>
            </w:r>
          </w:p>
        </w:tc>
        <w:tc>
          <w:tcPr>
            <w:tcW w:w="6869" w:type="dxa"/>
            <w:gridSpan w:val="2"/>
          </w:tcPr>
          <w:p w14:paraId="1AE6104F" w14:textId="337B5D8C" w:rsidR="004F4AD1" w:rsidRDefault="004F4AD1" w:rsidP="004F4AD1">
            <w:r>
              <w:t>﻿﻿</w:t>
            </w:r>
            <w:r>
              <w:t xml:space="preserve"> </w:t>
            </w:r>
            <w:r>
              <w:t>﻿To restore BP in acute hypotension; severe hypotension during cardiac arrest</w:t>
            </w:r>
          </w:p>
        </w:tc>
      </w:tr>
      <w:tr w:rsidR="004F4AD1" w14:paraId="7B3C146C" w14:textId="77777777" w:rsidTr="00B510EF">
        <w:trPr>
          <w:trHeight w:val="360"/>
        </w:trPr>
        <w:tc>
          <w:tcPr>
            <w:tcW w:w="5250" w:type="dxa"/>
            <w:gridSpan w:val="2"/>
          </w:tcPr>
          <w:p w14:paraId="046FE50A" w14:textId="77777777" w:rsidR="004F4AD1" w:rsidRDefault="004F4AD1" w:rsidP="00B510EF">
            <w:r>
              <w:t>Side effects/ adverse reactions:</w:t>
            </w:r>
          </w:p>
        </w:tc>
        <w:tc>
          <w:tcPr>
            <w:tcW w:w="5251" w:type="dxa"/>
          </w:tcPr>
          <w:p w14:paraId="53B2538C" w14:textId="77777777" w:rsidR="004F4AD1" w:rsidRDefault="004F4AD1" w:rsidP="00B510EF">
            <w:r>
              <w:t>Nursing Considerations:</w:t>
            </w:r>
          </w:p>
        </w:tc>
      </w:tr>
      <w:tr w:rsidR="004F4AD1" w:rsidRPr="00F00450" w14:paraId="01EEBFB4" w14:textId="77777777" w:rsidTr="004F4AD1">
        <w:trPr>
          <w:trHeight w:val="3483"/>
        </w:trPr>
        <w:tc>
          <w:tcPr>
            <w:tcW w:w="5250" w:type="dxa"/>
            <w:gridSpan w:val="2"/>
          </w:tcPr>
          <w:p w14:paraId="745C1745" w14:textId="2095BEB2" w:rsidR="004F4AD1" w:rsidRDefault="004F4AD1" w:rsidP="004F4AD1">
            <w:r>
              <w:t>﻿﻿﻿﻿﻿</w:t>
            </w:r>
            <w:r>
              <w:t xml:space="preserve"> </w:t>
            </w:r>
            <w:r>
              <w:t>﻿CNS: headache, anxiety. CV: bradycardia, severe HTN, arrhythmias, ischemic injury. Respiratory: respiratory difficulties. Skin: irritation with extravasation, necrosis and gangrene secondary to extravasation. Other: anaphylaxis.</w:t>
            </w:r>
          </w:p>
          <w:p w14:paraId="5111D356" w14:textId="77777777" w:rsidR="004F4AD1" w:rsidRDefault="004F4AD1" w:rsidP="004F4AD1"/>
        </w:tc>
        <w:tc>
          <w:tcPr>
            <w:tcW w:w="5251" w:type="dxa"/>
          </w:tcPr>
          <w:p w14:paraId="1BE18757" w14:textId="7EF83313" w:rsidR="004F4AD1" w:rsidRDefault="004F4AD1" w:rsidP="004F4AD1">
            <w:pPr>
              <w:tabs>
                <w:tab w:val="left" w:pos="1490"/>
              </w:tabs>
            </w:pPr>
            <w:r>
              <w:t>﻿</w:t>
            </w:r>
            <w:r>
              <w:t xml:space="preserve"> </w:t>
            </w:r>
            <w:r>
              <w:t>﻿• Drug isn't a substitute for blood or fluid replacement therapy. If patient has volume deficit, replace fluids before giving vasopressors. • Keep emergency drugs on hand to reverse effects of drug: atropine for reflex bradycardia, phentolamine to decrease vasopressor effects, and propranolol for arrhythmias.</w:t>
            </w:r>
          </w:p>
          <w:p w14:paraId="5B37ACD8" w14:textId="09060D0E" w:rsidR="004F4AD1" w:rsidRPr="00F00450" w:rsidRDefault="004F4AD1" w:rsidP="004F4AD1">
            <w:pPr>
              <w:tabs>
                <w:tab w:val="left" w:pos="1490"/>
              </w:tabs>
            </w:pPr>
            <w:r>
              <w:t>﻿• Notify prescriber immediately of decreased urine output. • When stopping drug, gradually slow infusion rate. Continue monitoring vital signs, watching for possible severe drop in BP.</w:t>
            </w:r>
          </w:p>
        </w:tc>
      </w:tr>
    </w:tbl>
    <w:p w14:paraId="0CE0F1C0" w14:textId="3920F1A9" w:rsidR="004F4AD1" w:rsidRDefault="004F4AD1" w:rsidP="005E314D">
      <w:pPr>
        <w:tabs>
          <w:tab w:val="left" w:pos="1005"/>
        </w:tabs>
      </w:pPr>
    </w:p>
    <w:p w14:paraId="3FE3BC2F" w14:textId="1EB71E1C" w:rsidR="007B758B" w:rsidRDefault="007B758B" w:rsidP="005E314D">
      <w:pPr>
        <w:tabs>
          <w:tab w:val="left" w:pos="1005"/>
        </w:tabs>
      </w:pPr>
    </w:p>
    <w:p w14:paraId="720AD323" w14:textId="2452E40C" w:rsidR="007B758B" w:rsidRDefault="007B758B" w:rsidP="005E314D">
      <w:pPr>
        <w:tabs>
          <w:tab w:val="left" w:pos="1005"/>
        </w:tabs>
      </w:pPr>
    </w:p>
    <w:p w14:paraId="1B035D6E" w14:textId="6B23F9DC" w:rsidR="007B758B" w:rsidRDefault="007B758B" w:rsidP="005E314D">
      <w:pPr>
        <w:tabs>
          <w:tab w:val="left" w:pos="1005"/>
        </w:tabs>
      </w:pPr>
    </w:p>
    <w:p w14:paraId="5E354FE7" w14:textId="3E4728CF" w:rsidR="007B758B" w:rsidRDefault="007B758B" w:rsidP="005E314D">
      <w:pPr>
        <w:tabs>
          <w:tab w:val="left" w:pos="1005"/>
        </w:tabs>
      </w:pPr>
    </w:p>
    <w:p w14:paraId="4AF56983" w14:textId="43DD9809" w:rsidR="007B758B" w:rsidRDefault="007B758B" w:rsidP="005E314D">
      <w:pPr>
        <w:tabs>
          <w:tab w:val="left" w:pos="1005"/>
        </w:tabs>
      </w:pPr>
    </w:p>
    <w:p w14:paraId="271E7C1E" w14:textId="578C657C" w:rsidR="007B758B" w:rsidRDefault="007B758B" w:rsidP="005E314D">
      <w:pPr>
        <w:tabs>
          <w:tab w:val="left" w:pos="1005"/>
        </w:tabs>
      </w:pPr>
    </w:p>
    <w:p w14:paraId="401E370A" w14:textId="6232512C" w:rsidR="007B758B" w:rsidRDefault="007B758B" w:rsidP="005E314D">
      <w:pPr>
        <w:tabs>
          <w:tab w:val="left" w:pos="1005"/>
        </w:tabs>
      </w:pPr>
    </w:p>
    <w:p w14:paraId="3F60FD52" w14:textId="06E301B1" w:rsidR="007B758B" w:rsidRDefault="007B758B" w:rsidP="005E314D">
      <w:pPr>
        <w:tabs>
          <w:tab w:val="left" w:pos="1005"/>
        </w:tabs>
      </w:pPr>
    </w:p>
    <w:p w14:paraId="4DC4A10B" w14:textId="0B62F040" w:rsidR="007B758B" w:rsidRDefault="007B758B" w:rsidP="005E314D">
      <w:pPr>
        <w:tabs>
          <w:tab w:val="left" w:pos="1005"/>
        </w:tabs>
      </w:pPr>
    </w:p>
    <w:p w14:paraId="6DA78523" w14:textId="4EAB9144" w:rsidR="007B758B" w:rsidRDefault="007B758B" w:rsidP="005E314D">
      <w:pPr>
        <w:tabs>
          <w:tab w:val="left" w:pos="1005"/>
        </w:tabs>
      </w:pPr>
    </w:p>
    <w:p w14:paraId="26F0B9CB" w14:textId="7C145D49" w:rsidR="007B758B" w:rsidRDefault="007B758B" w:rsidP="005E314D">
      <w:pPr>
        <w:tabs>
          <w:tab w:val="left" w:pos="1005"/>
        </w:tabs>
      </w:pPr>
    </w:p>
    <w:p w14:paraId="344BB0BB" w14:textId="56C7CF79" w:rsidR="007B758B" w:rsidRDefault="007B758B" w:rsidP="005E314D">
      <w:pPr>
        <w:tabs>
          <w:tab w:val="left" w:pos="1005"/>
        </w:tabs>
      </w:pPr>
    </w:p>
    <w:p w14:paraId="4A6F311E" w14:textId="26BC35C6" w:rsidR="007B758B" w:rsidRDefault="007B758B" w:rsidP="005E314D">
      <w:pPr>
        <w:tabs>
          <w:tab w:val="left" w:pos="1005"/>
        </w:tabs>
      </w:pPr>
    </w:p>
    <w:p w14:paraId="1D67B9A9" w14:textId="2F4A3BDF" w:rsidR="007B758B" w:rsidRDefault="007B758B" w:rsidP="005E314D">
      <w:pPr>
        <w:tabs>
          <w:tab w:val="left" w:pos="1005"/>
        </w:tabs>
      </w:pPr>
    </w:p>
    <w:p w14:paraId="4DE7ABAF" w14:textId="4BB231F7" w:rsidR="007B758B" w:rsidRDefault="007B758B" w:rsidP="005E314D">
      <w:pPr>
        <w:tabs>
          <w:tab w:val="left" w:pos="1005"/>
        </w:tabs>
      </w:pPr>
    </w:p>
    <w:p w14:paraId="0E339EF5" w14:textId="6D65E8C1" w:rsidR="007B758B" w:rsidRDefault="007B758B" w:rsidP="005E314D">
      <w:pPr>
        <w:tabs>
          <w:tab w:val="left" w:pos="1005"/>
        </w:tabs>
      </w:pPr>
    </w:p>
    <w:p w14:paraId="799F2673" w14:textId="6993112C" w:rsidR="007B758B" w:rsidRDefault="007B758B" w:rsidP="005E314D">
      <w:pPr>
        <w:tabs>
          <w:tab w:val="left" w:pos="1005"/>
        </w:tabs>
      </w:pPr>
    </w:p>
    <w:p w14:paraId="4A06A784" w14:textId="7C554752" w:rsidR="007B758B" w:rsidRDefault="007B758B" w:rsidP="005E314D">
      <w:pPr>
        <w:tabs>
          <w:tab w:val="left" w:pos="1005"/>
        </w:tabs>
      </w:pPr>
    </w:p>
    <w:p w14:paraId="6E9E02DB" w14:textId="3EE08551" w:rsidR="007B758B" w:rsidRDefault="007B758B" w:rsidP="005E314D">
      <w:pPr>
        <w:tabs>
          <w:tab w:val="left" w:pos="1005"/>
        </w:tabs>
      </w:pPr>
    </w:p>
    <w:p w14:paraId="466754B5" w14:textId="05298D42" w:rsidR="007B758B" w:rsidRDefault="007B758B" w:rsidP="005E314D">
      <w:pPr>
        <w:tabs>
          <w:tab w:val="left" w:pos="1005"/>
        </w:tabs>
      </w:pPr>
    </w:p>
    <w:p w14:paraId="261CC6DD" w14:textId="3905D45E" w:rsidR="007B758B" w:rsidRDefault="007B758B" w:rsidP="005E314D">
      <w:pPr>
        <w:tabs>
          <w:tab w:val="left" w:pos="1005"/>
        </w:tabs>
      </w:pPr>
    </w:p>
    <w:p w14:paraId="2FB0E9F3" w14:textId="310BD3EA" w:rsidR="007B758B" w:rsidRDefault="007B758B" w:rsidP="005E314D">
      <w:pPr>
        <w:tabs>
          <w:tab w:val="left" w:pos="1005"/>
        </w:tabs>
      </w:pPr>
    </w:p>
    <w:p w14:paraId="2DCD7A2C" w14:textId="3ED4AC5F" w:rsidR="007B758B" w:rsidRDefault="007B758B" w:rsidP="005E314D">
      <w:pPr>
        <w:tabs>
          <w:tab w:val="left" w:pos="1005"/>
        </w:tabs>
      </w:pPr>
    </w:p>
    <w:p w14:paraId="7FE58FCD" w14:textId="24CA9CC4" w:rsidR="007B758B" w:rsidRDefault="007B758B" w:rsidP="005E314D">
      <w:pPr>
        <w:tabs>
          <w:tab w:val="left" w:pos="1005"/>
        </w:tabs>
      </w:pPr>
    </w:p>
    <w:p w14:paraId="0BECD742" w14:textId="180AC077" w:rsidR="007B758B" w:rsidRDefault="007B758B" w:rsidP="005E314D">
      <w:pPr>
        <w:tabs>
          <w:tab w:val="left" w:pos="1005"/>
        </w:tabs>
      </w:pPr>
    </w:p>
    <w:p w14:paraId="6F8665A0" w14:textId="11F5A782" w:rsidR="007B758B" w:rsidRDefault="007B758B" w:rsidP="005E314D">
      <w:pPr>
        <w:tabs>
          <w:tab w:val="left" w:pos="1005"/>
        </w:tabs>
      </w:pPr>
    </w:p>
    <w:p w14:paraId="1827EDC9" w14:textId="4ED9FD67" w:rsidR="007B758B" w:rsidRDefault="007B758B" w:rsidP="005E314D">
      <w:pPr>
        <w:tabs>
          <w:tab w:val="left" w:pos="1005"/>
        </w:tabs>
      </w:pPr>
    </w:p>
    <w:p w14:paraId="1BDB39E7" w14:textId="44491275" w:rsidR="007B758B" w:rsidRDefault="007B758B" w:rsidP="005E314D">
      <w:pPr>
        <w:tabs>
          <w:tab w:val="left" w:pos="1005"/>
        </w:tabs>
      </w:pPr>
    </w:p>
    <w:p w14:paraId="4255ED8B" w14:textId="7586BB92" w:rsidR="007B758B" w:rsidRDefault="007B758B" w:rsidP="005E314D">
      <w:pPr>
        <w:tabs>
          <w:tab w:val="left" w:pos="1005"/>
        </w:tabs>
      </w:pPr>
    </w:p>
    <w:tbl>
      <w:tblPr>
        <w:tblStyle w:val="TableGrid"/>
        <w:tblpPr w:leftFromText="180" w:rightFromText="180" w:vertAnchor="page" w:horzAnchor="margin" w:tblpXSpec="center" w:tblpY="621"/>
        <w:tblW w:w="10502" w:type="dxa"/>
        <w:tblLook w:val="04A0" w:firstRow="1" w:lastRow="0" w:firstColumn="1" w:lastColumn="0" w:noHBand="0" w:noVBand="1"/>
      </w:tblPr>
      <w:tblGrid>
        <w:gridCol w:w="3633"/>
        <w:gridCol w:w="1617"/>
        <w:gridCol w:w="5252"/>
      </w:tblGrid>
      <w:tr w:rsidR="007B758B" w:rsidRPr="00F00450" w14:paraId="3BA20051" w14:textId="77777777" w:rsidTr="00B510EF">
        <w:trPr>
          <w:trHeight w:val="441"/>
        </w:trPr>
        <w:tc>
          <w:tcPr>
            <w:tcW w:w="10502" w:type="dxa"/>
            <w:gridSpan w:val="3"/>
          </w:tcPr>
          <w:p w14:paraId="63CC9CA3" w14:textId="575DD6A9" w:rsidR="007B758B" w:rsidRPr="00F00450" w:rsidRDefault="007B758B" w:rsidP="00B510EF">
            <w:pPr>
              <w:tabs>
                <w:tab w:val="left" w:pos="3483"/>
              </w:tabs>
              <w:jc w:val="center"/>
              <w:rPr>
                <w:b/>
                <w:bCs/>
                <w:sz w:val="32"/>
                <w:szCs w:val="32"/>
              </w:rPr>
            </w:pPr>
            <w:r>
              <w:rPr>
                <w:b/>
                <w:bCs/>
                <w:sz w:val="32"/>
                <w:szCs w:val="32"/>
              </w:rPr>
              <w:t>simvastatin</w:t>
            </w:r>
            <w:r>
              <w:rPr>
                <w:b/>
                <w:bCs/>
                <w:sz w:val="32"/>
                <w:szCs w:val="32"/>
              </w:rPr>
              <w:t xml:space="preserve"> (</w:t>
            </w:r>
            <w:proofErr w:type="spellStart"/>
            <w:r>
              <w:rPr>
                <w:b/>
                <w:bCs/>
                <w:sz w:val="32"/>
                <w:szCs w:val="32"/>
              </w:rPr>
              <w:t>FloLipid</w:t>
            </w:r>
            <w:proofErr w:type="spellEnd"/>
            <w:r w:rsidR="00CA2EC6">
              <w:rPr>
                <w:b/>
                <w:bCs/>
                <w:sz w:val="32"/>
                <w:szCs w:val="32"/>
              </w:rPr>
              <w:t>, Zocor</w:t>
            </w:r>
            <w:r>
              <w:rPr>
                <w:b/>
                <w:bCs/>
                <w:sz w:val="32"/>
                <w:szCs w:val="32"/>
              </w:rPr>
              <w:t>)</w:t>
            </w:r>
          </w:p>
        </w:tc>
      </w:tr>
      <w:tr w:rsidR="007B758B" w14:paraId="4A875EC3" w14:textId="77777777" w:rsidTr="00B510EF">
        <w:trPr>
          <w:trHeight w:val="297"/>
        </w:trPr>
        <w:tc>
          <w:tcPr>
            <w:tcW w:w="3633" w:type="dxa"/>
          </w:tcPr>
          <w:p w14:paraId="50F2FADE" w14:textId="77777777" w:rsidR="007B758B" w:rsidRDefault="007B758B" w:rsidP="00B510EF">
            <w:r>
              <w:t>Classification:</w:t>
            </w:r>
          </w:p>
        </w:tc>
        <w:tc>
          <w:tcPr>
            <w:tcW w:w="6869" w:type="dxa"/>
            <w:gridSpan w:val="2"/>
          </w:tcPr>
          <w:p w14:paraId="148EEF84" w14:textId="77777777" w:rsidR="007B758B" w:rsidRDefault="007B758B" w:rsidP="00B510EF">
            <w:r>
              <w:t>Indication:</w:t>
            </w:r>
          </w:p>
        </w:tc>
      </w:tr>
      <w:tr w:rsidR="007B758B" w14:paraId="1BBDFFF4" w14:textId="77777777" w:rsidTr="00B510EF">
        <w:trPr>
          <w:trHeight w:val="1035"/>
        </w:trPr>
        <w:tc>
          <w:tcPr>
            <w:tcW w:w="3633" w:type="dxa"/>
          </w:tcPr>
          <w:p w14:paraId="1948538C" w14:textId="06B9D052" w:rsidR="00CA2EC6" w:rsidRDefault="007B758B" w:rsidP="007B758B">
            <w:r>
              <w:t>﻿﻿﻿﻿</w:t>
            </w:r>
            <w:proofErr w:type="spellStart"/>
            <w:r>
              <w:t>Antilipemics</w:t>
            </w:r>
            <w:proofErr w:type="spellEnd"/>
            <w:r>
              <w:t xml:space="preserve"> </w:t>
            </w:r>
          </w:p>
          <w:p w14:paraId="504E8B92" w14:textId="3F116479" w:rsidR="007B758B" w:rsidRDefault="007B758B" w:rsidP="007B758B">
            <w:r>
              <w:t>HMG-CoA reductase inhibitors</w:t>
            </w:r>
          </w:p>
          <w:p w14:paraId="464B4771" w14:textId="4AE92FCC" w:rsidR="007B758B" w:rsidRDefault="007B758B" w:rsidP="007B758B"/>
        </w:tc>
        <w:tc>
          <w:tcPr>
            <w:tcW w:w="6869" w:type="dxa"/>
            <w:gridSpan w:val="2"/>
          </w:tcPr>
          <w:p w14:paraId="43BFCEB5" w14:textId="16933798" w:rsidR="007B758B" w:rsidRDefault="007B758B" w:rsidP="007B758B">
            <w:r>
              <w:t>﻿﻿ ﻿</w:t>
            </w:r>
            <w:r>
              <w:t xml:space="preserve"> </w:t>
            </w:r>
            <w:r>
              <w:t xml:space="preserve">﻿ To reduce risk of death from CV disease and CV events in patients at high risk for coronary events; to reduce total and LDL cholesterol, apolipoprotein B, and triglyceride levels and increase HDL cholesterol level in patients with primary hyperlipidemia and mixed dyslipidemia; to reduce triglyceride levels; to reduce triglyceride levels and VLDL cholesterol level in patients with </w:t>
            </w:r>
            <w:proofErr w:type="spellStart"/>
            <w:r>
              <w:t>dysbetalipoproteinemia</w:t>
            </w:r>
            <w:proofErr w:type="spellEnd"/>
          </w:p>
          <w:p w14:paraId="3069CC99" w14:textId="77777777" w:rsidR="007B758B" w:rsidRDefault="007B758B" w:rsidP="007B758B"/>
          <w:p w14:paraId="621FCD15" w14:textId="77777777" w:rsidR="007B758B" w:rsidRDefault="007B758B" w:rsidP="007B758B">
            <w:r>
              <w:t xml:space="preserve">﻿ To reduce total and LDL cholesterol levels in patients with homozygous familial hypercholesterolemia  </w:t>
            </w:r>
          </w:p>
          <w:p w14:paraId="6D12AB1A" w14:textId="72E54F4A" w:rsidR="007B758B" w:rsidRDefault="007B758B" w:rsidP="007B758B">
            <w:r>
              <w:t xml:space="preserve">Heterozygous familial hypercholesterolemia in boys and </w:t>
            </w:r>
            <w:proofErr w:type="spellStart"/>
            <w:r>
              <w:t>postmenarchal</w:t>
            </w:r>
            <w:proofErr w:type="spellEnd"/>
            <w:r>
              <w:t xml:space="preserve"> girls </w:t>
            </w:r>
          </w:p>
          <w:p w14:paraId="003AFEE2" w14:textId="77777777" w:rsidR="007B758B" w:rsidRDefault="007B758B" w:rsidP="007B758B"/>
          <w:p w14:paraId="51008368" w14:textId="214BA760" w:rsidR="007B758B" w:rsidRDefault="007B758B" w:rsidP="007B758B"/>
        </w:tc>
      </w:tr>
      <w:tr w:rsidR="007B758B" w14:paraId="1994B2A9" w14:textId="77777777" w:rsidTr="00B510EF">
        <w:trPr>
          <w:trHeight w:val="360"/>
        </w:trPr>
        <w:tc>
          <w:tcPr>
            <w:tcW w:w="5250" w:type="dxa"/>
            <w:gridSpan w:val="2"/>
          </w:tcPr>
          <w:p w14:paraId="6310FEF1" w14:textId="77777777" w:rsidR="007B758B" w:rsidRDefault="007B758B" w:rsidP="00B510EF">
            <w:r>
              <w:t>Side effects/ adverse reactions:</w:t>
            </w:r>
          </w:p>
        </w:tc>
        <w:tc>
          <w:tcPr>
            <w:tcW w:w="5251" w:type="dxa"/>
          </w:tcPr>
          <w:p w14:paraId="1E115272" w14:textId="77777777" w:rsidR="007B758B" w:rsidRDefault="007B758B" w:rsidP="00B510EF">
            <w:r>
              <w:t>Nursing Considerations:</w:t>
            </w:r>
          </w:p>
        </w:tc>
      </w:tr>
      <w:tr w:rsidR="007B758B" w:rsidRPr="00F00450" w14:paraId="3A649C4E" w14:textId="77777777" w:rsidTr="00B510EF">
        <w:trPr>
          <w:trHeight w:val="3483"/>
        </w:trPr>
        <w:tc>
          <w:tcPr>
            <w:tcW w:w="5250" w:type="dxa"/>
            <w:gridSpan w:val="2"/>
          </w:tcPr>
          <w:p w14:paraId="314E52C8" w14:textId="77777777" w:rsidR="007B758B" w:rsidRDefault="007B758B" w:rsidP="007B758B">
            <w:r>
              <w:t>﻿CNS: asthenia, headache, vertigo. CV: edema, atrial fibrillation. EENT: sinusitis. GI: abdominal pain, constipation, gastritis, nausea. GU: UTI. Musculoskeletal: myalgia. Respiratory: URI, bronchitis. Skin: eczema.</w:t>
            </w:r>
          </w:p>
          <w:p w14:paraId="4CA99788" w14:textId="7AD7F0CC" w:rsidR="007B758B" w:rsidRDefault="007B758B" w:rsidP="007B758B">
            <w:r>
              <w:t xml:space="preserve"> </w:t>
            </w:r>
          </w:p>
        </w:tc>
        <w:tc>
          <w:tcPr>
            <w:tcW w:w="5251" w:type="dxa"/>
          </w:tcPr>
          <w:p w14:paraId="2D84CF24" w14:textId="77777777" w:rsidR="007B758B" w:rsidRDefault="007B758B" w:rsidP="007B758B">
            <w:pPr>
              <w:tabs>
                <w:tab w:val="left" w:pos="1490"/>
              </w:tabs>
            </w:pPr>
            <w:r>
              <w:t>﻿ ﻿Obtain LFT results before initiation of treatment and thereafter when clinically indicated. Obtain lipid determinations after 4 weeks of therapy and periodically thereafter. • Monitor all patients for myopathy (unexplained muscle pain, weakness, or tenderness). Periodic CK determinations may be considered in patients starting therapy or in patients whose dosage is being increased, but there's no assurance that such monitoring will prevent myopathy. • Patient should follow a diet restricted in saturated fat and cholesterol during therapy.</w:t>
            </w:r>
          </w:p>
          <w:p w14:paraId="5B0B5093" w14:textId="77777777" w:rsidR="007B758B" w:rsidRDefault="007B758B" w:rsidP="007B758B">
            <w:pPr>
              <w:tabs>
                <w:tab w:val="left" w:pos="1490"/>
              </w:tabs>
            </w:pPr>
          </w:p>
          <w:p w14:paraId="0E933D30" w14:textId="77777777" w:rsidR="007B758B" w:rsidRDefault="007B758B" w:rsidP="007B758B">
            <w:pPr>
              <w:tabs>
                <w:tab w:val="left" w:pos="1490"/>
              </w:tabs>
            </w:pPr>
            <w:r>
              <w:t>﻿• Interrupt statin therapy if patient shows signs or symptoms of serious liver injury, hyperbilirubinemia, or jaundice. Don't restart drug if another cause can't be found. • A daily dose of 40 mg significantly reduces risk of death from CAD, nonfatal MI, stroke, and revascularization procedures.</w:t>
            </w:r>
          </w:p>
          <w:p w14:paraId="72A18B29" w14:textId="114544EA" w:rsidR="007B758B" w:rsidRPr="00F00450" w:rsidRDefault="007B758B" w:rsidP="007B758B">
            <w:pPr>
              <w:tabs>
                <w:tab w:val="left" w:pos="1490"/>
              </w:tabs>
            </w:pPr>
          </w:p>
        </w:tc>
      </w:tr>
    </w:tbl>
    <w:p w14:paraId="4CD6B438" w14:textId="4C37BA4A" w:rsidR="007B758B" w:rsidRDefault="007B758B" w:rsidP="005E314D">
      <w:pPr>
        <w:tabs>
          <w:tab w:val="left" w:pos="1005"/>
        </w:tabs>
      </w:pPr>
    </w:p>
    <w:p w14:paraId="10F296F5" w14:textId="4595E1F6" w:rsidR="007B758B" w:rsidRDefault="007B758B" w:rsidP="005E314D">
      <w:pPr>
        <w:tabs>
          <w:tab w:val="left" w:pos="1005"/>
        </w:tabs>
      </w:pPr>
    </w:p>
    <w:p w14:paraId="220A739C" w14:textId="0601E7F7" w:rsidR="007B758B" w:rsidRDefault="007B758B" w:rsidP="005E314D">
      <w:pPr>
        <w:tabs>
          <w:tab w:val="left" w:pos="1005"/>
        </w:tabs>
      </w:pPr>
    </w:p>
    <w:p w14:paraId="122C9C5D" w14:textId="54776703" w:rsidR="007B758B" w:rsidRDefault="007B758B" w:rsidP="005E314D">
      <w:pPr>
        <w:tabs>
          <w:tab w:val="left" w:pos="1005"/>
        </w:tabs>
      </w:pPr>
    </w:p>
    <w:p w14:paraId="03B7C605" w14:textId="3C345ED2" w:rsidR="007B758B" w:rsidRDefault="007B758B" w:rsidP="005E314D">
      <w:pPr>
        <w:tabs>
          <w:tab w:val="left" w:pos="1005"/>
        </w:tabs>
      </w:pPr>
    </w:p>
    <w:p w14:paraId="40267030" w14:textId="1DAAA95F" w:rsidR="007B758B" w:rsidRDefault="007B758B" w:rsidP="005E314D">
      <w:pPr>
        <w:tabs>
          <w:tab w:val="left" w:pos="1005"/>
        </w:tabs>
      </w:pPr>
    </w:p>
    <w:tbl>
      <w:tblPr>
        <w:tblStyle w:val="TableGrid"/>
        <w:tblpPr w:leftFromText="180" w:rightFromText="180" w:vertAnchor="page" w:horzAnchor="margin" w:tblpXSpec="center" w:tblpY="621"/>
        <w:tblW w:w="10502" w:type="dxa"/>
        <w:tblLook w:val="04A0" w:firstRow="1" w:lastRow="0" w:firstColumn="1" w:lastColumn="0" w:noHBand="0" w:noVBand="1"/>
      </w:tblPr>
      <w:tblGrid>
        <w:gridCol w:w="3633"/>
        <w:gridCol w:w="1617"/>
        <w:gridCol w:w="5252"/>
      </w:tblGrid>
      <w:tr w:rsidR="007B758B" w:rsidRPr="00F00450" w14:paraId="68187B86" w14:textId="77777777" w:rsidTr="00B510EF">
        <w:trPr>
          <w:trHeight w:val="441"/>
        </w:trPr>
        <w:tc>
          <w:tcPr>
            <w:tcW w:w="10502" w:type="dxa"/>
            <w:gridSpan w:val="3"/>
          </w:tcPr>
          <w:p w14:paraId="566126C0" w14:textId="798D0C1C" w:rsidR="007B758B" w:rsidRPr="00F00450" w:rsidRDefault="007B758B" w:rsidP="00B510EF">
            <w:pPr>
              <w:tabs>
                <w:tab w:val="left" w:pos="3483"/>
              </w:tabs>
              <w:jc w:val="center"/>
              <w:rPr>
                <w:b/>
                <w:bCs/>
                <w:sz w:val="32"/>
                <w:szCs w:val="32"/>
              </w:rPr>
            </w:pPr>
            <w:r>
              <w:rPr>
                <w:b/>
                <w:bCs/>
                <w:sz w:val="32"/>
                <w:szCs w:val="32"/>
              </w:rPr>
              <w:t>amlodipine</w:t>
            </w:r>
            <w:r>
              <w:rPr>
                <w:b/>
                <w:bCs/>
                <w:sz w:val="32"/>
                <w:szCs w:val="32"/>
              </w:rPr>
              <w:t xml:space="preserve"> (</w:t>
            </w:r>
            <w:proofErr w:type="spellStart"/>
            <w:r>
              <w:rPr>
                <w:b/>
                <w:bCs/>
                <w:sz w:val="32"/>
                <w:szCs w:val="32"/>
              </w:rPr>
              <w:t>Katerzia</w:t>
            </w:r>
            <w:proofErr w:type="spellEnd"/>
            <w:r w:rsidR="00CA2EC6">
              <w:rPr>
                <w:b/>
                <w:bCs/>
                <w:sz w:val="32"/>
                <w:szCs w:val="32"/>
              </w:rPr>
              <w:t>, Norvasc</w:t>
            </w:r>
            <w:r>
              <w:rPr>
                <w:b/>
                <w:bCs/>
                <w:sz w:val="32"/>
                <w:szCs w:val="32"/>
              </w:rPr>
              <w:t>)</w:t>
            </w:r>
          </w:p>
        </w:tc>
      </w:tr>
      <w:tr w:rsidR="007B758B" w14:paraId="412C9D44" w14:textId="77777777" w:rsidTr="00B510EF">
        <w:trPr>
          <w:trHeight w:val="297"/>
        </w:trPr>
        <w:tc>
          <w:tcPr>
            <w:tcW w:w="3633" w:type="dxa"/>
          </w:tcPr>
          <w:p w14:paraId="0E47B37A" w14:textId="77777777" w:rsidR="007B758B" w:rsidRDefault="007B758B" w:rsidP="00B510EF">
            <w:r>
              <w:t>Classification:</w:t>
            </w:r>
          </w:p>
        </w:tc>
        <w:tc>
          <w:tcPr>
            <w:tcW w:w="6869" w:type="dxa"/>
            <w:gridSpan w:val="2"/>
          </w:tcPr>
          <w:p w14:paraId="6FBD0318" w14:textId="77777777" w:rsidR="007B758B" w:rsidRDefault="007B758B" w:rsidP="00B510EF">
            <w:r>
              <w:t>Indication:</w:t>
            </w:r>
          </w:p>
        </w:tc>
      </w:tr>
      <w:tr w:rsidR="007B758B" w14:paraId="68C49454" w14:textId="77777777" w:rsidTr="00B510EF">
        <w:trPr>
          <w:trHeight w:val="1035"/>
        </w:trPr>
        <w:tc>
          <w:tcPr>
            <w:tcW w:w="3633" w:type="dxa"/>
          </w:tcPr>
          <w:p w14:paraId="50301C87" w14:textId="60C33C89" w:rsidR="00CA2EC6" w:rsidRDefault="007B758B" w:rsidP="007B758B">
            <w:r>
              <w:t>﻿﻿﻿﻿</w:t>
            </w:r>
            <w:bookmarkStart w:id="0" w:name="_GoBack"/>
            <w:bookmarkEnd w:id="0"/>
            <w:r>
              <w:t xml:space="preserve">Antihypertensives </w:t>
            </w:r>
          </w:p>
          <w:p w14:paraId="18AFEF7A" w14:textId="76BD1DE0" w:rsidR="007B758B" w:rsidRDefault="007B758B" w:rsidP="007B758B">
            <w:r>
              <w:t>Calcium channel blockers</w:t>
            </w:r>
          </w:p>
          <w:p w14:paraId="3082DA90" w14:textId="77777777" w:rsidR="007B758B" w:rsidRDefault="007B758B" w:rsidP="007B758B"/>
          <w:p w14:paraId="1A68AA24" w14:textId="77777777" w:rsidR="007B758B" w:rsidRDefault="007B758B" w:rsidP="007B758B"/>
        </w:tc>
        <w:tc>
          <w:tcPr>
            <w:tcW w:w="6869" w:type="dxa"/>
            <w:gridSpan w:val="2"/>
          </w:tcPr>
          <w:p w14:paraId="46B73143" w14:textId="5F8801F1" w:rsidR="007B758B" w:rsidRDefault="007B758B" w:rsidP="007B758B">
            <w:r>
              <w:t>﻿ Chronic stable angina, vasospastic angina (</w:t>
            </w:r>
            <w:proofErr w:type="spellStart"/>
            <w:r>
              <w:t>Prinzmetal</w:t>
            </w:r>
            <w:proofErr w:type="spellEnd"/>
            <w:r>
              <w:t xml:space="preserve"> or variant angina); to reduce risk of hospitalization because </w:t>
            </w:r>
            <w:proofErr w:type="gramStart"/>
            <w:r>
              <w:t>of</w:t>
            </w:r>
            <w:r>
              <w:t xml:space="preserve">  </w:t>
            </w:r>
            <w:r>
              <w:t>﻿</w:t>
            </w:r>
            <w:proofErr w:type="gramEnd"/>
            <w:r>
              <w:t>angina; to reduce risk of coronary revascularization procedure in patients with recently documented CAD by angiography and without HF or with LVEF less than 40%</w:t>
            </w:r>
          </w:p>
          <w:p w14:paraId="7CE99F7E" w14:textId="0369B728" w:rsidR="007B758B" w:rsidRDefault="007B758B" w:rsidP="007B758B">
            <w:r>
              <w:t>HTN</w:t>
            </w:r>
          </w:p>
          <w:p w14:paraId="2EAAC7ED" w14:textId="77777777" w:rsidR="007B758B" w:rsidRDefault="007B758B" w:rsidP="007B758B"/>
        </w:tc>
      </w:tr>
      <w:tr w:rsidR="007B758B" w14:paraId="78D5E086" w14:textId="77777777" w:rsidTr="00B510EF">
        <w:trPr>
          <w:trHeight w:val="360"/>
        </w:trPr>
        <w:tc>
          <w:tcPr>
            <w:tcW w:w="5250" w:type="dxa"/>
            <w:gridSpan w:val="2"/>
          </w:tcPr>
          <w:p w14:paraId="587B546C" w14:textId="77777777" w:rsidR="007B758B" w:rsidRDefault="007B758B" w:rsidP="00B510EF">
            <w:r>
              <w:t>Side effects/ adverse reactions:</w:t>
            </w:r>
          </w:p>
        </w:tc>
        <w:tc>
          <w:tcPr>
            <w:tcW w:w="5251" w:type="dxa"/>
          </w:tcPr>
          <w:p w14:paraId="0E62A162" w14:textId="77777777" w:rsidR="007B758B" w:rsidRDefault="007B758B" w:rsidP="00B510EF">
            <w:r>
              <w:t>Nursing Considerations:</w:t>
            </w:r>
          </w:p>
        </w:tc>
      </w:tr>
      <w:tr w:rsidR="007B758B" w:rsidRPr="00F00450" w14:paraId="3246327A" w14:textId="77777777" w:rsidTr="00B510EF">
        <w:trPr>
          <w:trHeight w:val="3483"/>
        </w:trPr>
        <w:tc>
          <w:tcPr>
            <w:tcW w:w="5250" w:type="dxa"/>
            <w:gridSpan w:val="2"/>
          </w:tcPr>
          <w:p w14:paraId="40CA698F" w14:textId="74E67432" w:rsidR="00FD2870" w:rsidRDefault="007B758B" w:rsidP="00FD2870">
            <w:r>
              <w:t>﻿</w:t>
            </w:r>
            <w:r w:rsidR="00FD2870">
              <w:t xml:space="preserve"> </w:t>
            </w:r>
            <w:r w:rsidR="00FD2870">
              <w:t>﻿CNS: headache, somnolence, fatigue, dizziness. CV: edema, flushing, palpitations. GI: nausea, abdominal pain. Respiratory: pulmonary edema, dyspnea. Skin: pruritus, rash.</w:t>
            </w:r>
          </w:p>
          <w:p w14:paraId="44C2BBEC" w14:textId="4804AB95" w:rsidR="007B758B" w:rsidRDefault="007B758B" w:rsidP="00B510EF"/>
        </w:tc>
        <w:tc>
          <w:tcPr>
            <w:tcW w:w="5251" w:type="dxa"/>
          </w:tcPr>
          <w:p w14:paraId="5DB7F60A" w14:textId="77777777" w:rsidR="00FD2870" w:rsidRDefault="00FD2870" w:rsidP="00FD2870">
            <w:pPr>
              <w:tabs>
                <w:tab w:val="left" w:pos="1490"/>
              </w:tabs>
            </w:pPr>
            <w:r>
              <w:t>﻿Monitor patient carefully. Some patients, especially those with severe obstructive CAD, have developed increased frequency, duration, or severity of angina or acute MI after initiation of calcium channel blocker therapy or at time of dosage increase.</w:t>
            </w:r>
          </w:p>
          <w:p w14:paraId="7566BCA4" w14:textId="77777777" w:rsidR="00FD2870" w:rsidRDefault="00FD2870" w:rsidP="00FD2870">
            <w:pPr>
              <w:tabs>
                <w:tab w:val="left" w:pos="1490"/>
              </w:tabs>
            </w:pPr>
          </w:p>
          <w:p w14:paraId="47B75EF5" w14:textId="77777777" w:rsidR="00FD2870" w:rsidRDefault="00FD2870" w:rsidP="00FD2870">
            <w:pPr>
              <w:tabs>
                <w:tab w:val="left" w:pos="1490"/>
              </w:tabs>
            </w:pPr>
            <w:r>
              <w:t>﻿• Monitor BP frequently during initiation of therapy. Because drug-induced vasodilation has a gradual onset, acute hypotension is rare. • Notify prescriber if signs of HF occur, such as swelling of hands and feet or shortness of breath.</w:t>
            </w:r>
          </w:p>
          <w:p w14:paraId="7BA98AFE" w14:textId="19A58B36" w:rsidR="007B758B" w:rsidRPr="00F00450" w:rsidRDefault="007B758B" w:rsidP="00FD2870">
            <w:pPr>
              <w:tabs>
                <w:tab w:val="left" w:pos="1490"/>
              </w:tabs>
            </w:pPr>
          </w:p>
        </w:tc>
      </w:tr>
    </w:tbl>
    <w:p w14:paraId="37306360" w14:textId="77777777" w:rsidR="007B758B" w:rsidRPr="005E314D" w:rsidRDefault="007B758B" w:rsidP="005E314D">
      <w:pPr>
        <w:tabs>
          <w:tab w:val="left" w:pos="1005"/>
        </w:tabs>
      </w:pPr>
    </w:p>
    <w:sectPr w:rsidR="007B758B" w:rsidRPr="005E31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6ED9D" w14:textId="77777777" w:rsidR="00352E52" w:rsidRDefault="00352E52" w:rsidP="00BD7477">
      <w:r>
        <w:separator/>
      </w:r>
    </w:p>
  </w:endnote>
  <w:endnote w:type="continuationSeparator" w:id="0">
    <w:p w14:paraId="03FF560C" w14:textId="77777777" w:rsidR="00352E52" w:rsidRDefault="00352E52" w:rsidP="00BD7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7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D1068" w14:textId="77777777" w:rsidR="00352E52" w:rsidRDefault="00352E52" w:rsidP="00BD7477">
      <w:r>
        <w:separator/>
      </w:r>
    </w:p>
  </w:footnote>
  <w:footnote w:type="continuationSeparator" w:id="0">
    <w:p w14:paraId="0164DF75" w14:textId="77777777" w:rsidR="00352E52" w:rsidRDefault="00352E52" w:rsidP="00BD74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F40112"/>
    <w:multiLevelType w:val="hybridMultilevel"/>
    <w:tmpl w:val="BB461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477"/>
    <w:rsid w:val="000F13E6"/>
    <w:rsid w:val="00185ECE"/>
    <w:rsid w:val="00352E52"/>
    <w:rsid w:val="00442CE5"/>
    <w:rsid w:val="0046408E"/>
    <w:rsid w:val="004F4AD1"/>
    <w:rsid w:val="00540F3F"/>
    <w:rsid w:val="0058325F"/>
    <w:rsid w:val="00594B1A"/>
    <w:rsid w:val="005C3084"/>
    <w:rsid w:val="005C748F"/>
    <w:rsid w:val="005E314D"/>
    <w:rsid w:val="007401D8"/>
    <w:rsid w:val="007B758B"/>
    <w:rsid w:val="0089797F"/>
    <w:rsid w:val="00B23E42"/>
    <w:rsid w:val="00BD7477"/>
    <w:rsid w:val="00C9736F"/>
    <w:rsid w:val="00CA2EC6"/>
    <w:rsid w:val="00D76A8F"/>
    <w:rsid w:val="00DF501A"/>
    <w:rsid w:val="00F00450"/>
    <w:rsid w:val="00FD2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7B2B2CF"/>
  <w15:chartTrackingRefBased/>
  <w15:docId w15:val="{8C6A9D6E-9B1D-934C-ABAE-3E62F9E98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D74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7477"/>
    <w:pPr>
      <w:tabs>
        <w:tab w:val="center" w:pos="4680"/>
        <w:tab w:val="right" w:pos="9360"/>
      </w:tabs>
    </w:pPr>
  </w:style>
  <w:style w:type="character" w:customStyle="1" w:styleId="HeaderChar">
    <w:name w:val="Header Char"/>
    <w:basedOn w:val="DefaultParagraphFont"/>
    <w:link w:val="Header"/>
    <w:uiPriority w:val="99"/>
    <w:rsid w:val="00BD7477"/>
  </w:style>
  <w:style w:type="paragraph" w:styleId="Footer">
    <w:name w:val="footer"/>
    <w:basedOn w:val="Normal"/>
    <w:link w:val="FooterChar"/>
    <w:uiPriority w:val="99"/>
    <w:unhideWhenUsed/>
    <w:rsid w:val="00BD7477"/>
    <w:pPr>
      <w:tabs>
        <w:tab w:val="center" w:pos="4680"/>
        <w:tab w:val="right" w:pos="9360"/>
      </w:tabs>
    </w:pPr>
  </w:style>
  <w:style w:type="character" w:customStyle="1" w:styleId="FooterChar">
    <w:name w:val="Footer Char"/>
    <w:basedOn w:val="DefaultParagraphFont"/>
    <w:link w:val="Footer"/>
    <w:uiPriority w:val="99"/>
    <w:rsid w:val="00BD7477"/>
  </w:style>
  <w:style w:type="paragraph" w:styleId="ListParagraph">
    <w:name w:val="List Paragraph"/>
    <w:basedOn w:val="Normal"/>
    <w:uiPriority w:val="34"/>
    <w:qFormat/>
    <w:rsid w:val="00B23E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10</Pages>
  <Words>2410</Words>
  <Characters>13741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Lebo</dc:creator>
  <cp:keywords/>
  <dc:description/>
  <cp:lastModifiedBy>Microsoft Office User</cp:lastModifiedBy>
  <cp:revision>9</cp:revision>
  <dcterms:created xsi:type="dcterms:W3CDTF">2022-01-29T15:10:00Z</dcterms:created>
  <dcterms:modified xsi:type="dcterms:W3CDTF">2022-01-29T17:01:00Z</dcterms:modified>
</cp:coreProperties>
</file>